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78703" w14:textId="77777777" w:rsidR="00B43D53" w:rsidRPr="00B43D53" w:rsidRDefault="00B43D53" w:rsidP="00B43D53">
      <w:pPr>
        <w:rPr>
          <w:sz w:val="2"/>
          <w:szCs w:val="2"/>
        </w:rPr>
      </w:pPr>
    </w:p>
    <w:p w14:paraId="39EC2BE6" w14:textId="7B57F81D" w:rsidR="008C622A" w:rsidRDefault="004608A8" w:rsidP="00761217">
      <w:pPr>
        <w:pStyle w:val="Title"/>
        <w:rPr>
          <w:bCs/>
          <w:sz w:val="30"/>
          <w:szCs w:val="30"/>
        </w:rPr>
      </w:pPr>
      <w:r>
        <w:rPr>
          <w:bCs/>
          <w:sz w:val="30"/>
          <w:szCs w:val="30"/>
        </w:rPr>
        <w:t>MBA</w:t>
      </w:r>
      <w:r w:rsidR="006D1BC0">
        <w:rPr>
          <w:bCs/>
          <w:sz w:val="30"/>
          <w:szCs w:val="30"/>
        </w:rPr>
        <w:t xml:space="preserve"> F718</w:t>
      </w:r>
    </w:p>
    <w:p w14:paraId="345CFACF" w14:textId="0DB86C04" w:rsidR="008C622A" w:rsidRDefault="006D1BC0" w:rsidP="00761217">
      <w:pPr>
        <w:pStyle w:val="Title"/>
        <w:rPr>
          <w:bCs/>
          <w:sz w:val="30"/>
          <w:szCs w:val="30"/>
        </w:rPr>
      </w:pPr>
      <w:r>
        <w:rPr>
          <w:bCs/>
          <w:sz w:val="30"/>
          <w:szCs w:val="30"/>
        </w:rPr>
        <w:t>The History of Finance</w:t>
      </w:r>
    </w:p>
    <w:p w14:paraId="6E0EB262" w14:textId="40C9391C" w:rsidR="008C622A" w:rsidRPr="000124C0" w:rsidRDefault="006D1BC0" w:rsidP="00761217">
      <w:pPr>
        <w:pStyle w:val="Title"/>
        <w:rPr>
          <w:bCs/>
          <w:sz w:val="30"/>
          <w:szCs w:val="30"/>
        </w:rPr>
      </w:pPr>
      <w:r>
        <w:rPr>
          <w:bCs/>
          <w:sz w:val="30"/>
          <w:szCs w:val="30"/>
        </w:rPr>
        <w:t>Winter 2021</w:t>
      </w:r>
      <w:r w:rsidR="008C622A" w:rsidRPr="000124C0">
        <w:rPr>
          <w:bCs/>
          <w:sz w:val="30"/>
          <w:szCs w:val="30"/>
        </w:rPr>
        <w:t xml:space="preserve"> Course Outline</w:t>
      </w:r>
    </w:p>
    <w:p w14:paraId="44DE5BFA" w14:textId="77777777" w:rsidR="008C622A" w:rsidRPr="000124C0" w:rsidRDefault="008C622A" w:rsidP="008C622A">
      <w:pPr>
        <w:pStyle w:val="Title"/>
        <w:rPr>
          <w:rFonts w:ascii="Times New Roman" w:hAnsi="Times New Roman" w:cs="Times New Roman"/>
          <w:bCs/>
          <w:sz w:val="30"/>
          <w:szCs w:val="30"/>
        </w:rPr>
      </w:pPr>
    </w:p>
    <w:p w14:paraId="217B61C2" w14:textId="0D82BFF4" w:rsidR="008C622A" w:rsidRPr="000124C0" w:rsidRDefault="00762FD8" w:rsidP="008C622A">
      <w:pPr>
        <w:pStyle w:val="Title"/>
        <w:rPr>
          <w:bCs/>
          <w:sz w:val="30"/>
          <w:szCs w:val="30"/>
        </w:rPr>
      </w:pPr>
      <w:r>
        <w:rPr>
          <w:bCs/>
          <w:sz w:val="30"/>
          <w:szCs w:val="30"/>
        </w:rPr>
        <w:t xml:space="preserve">Finance and </w:t>
      </w:r>
      <w:r w:rsidR="006D1BC0">
        <w:rPr>
          <w:bCs/>
          <w:sz w:val="30"/>
          <w:szCs w:val="30"/>
        </w:rPr>
        <w:t>Business Economics</w:t>
      </w:r>
      <w:r w:rsidR="008C622A" w:rsidRPr="000124C0">
        <w:rPr>
          <w:bCs/>
          <w:sz w:val="30"/>
          <w:szCs w:val="30"/>
        </w:rPr>
        <w:t xml:space="preserve"> Area</w:t>
      </w:r>
      <w:r>
        <w:rPr>
          <w:bCs/>
          <w:sz w:val="30"/>
          <w:szCs w:val="30"/>
        </w:rPr>
        <w:t>s</w:t>
      </w:r>
    </w:p>
    <w:p w14:paraId="15622473" w14:textId="77777777" w:rsidR="008C622A" w:rsidRPr="000124C0" w:rsidRDefault="008C622A" w:rsidP="008C622A">
      <w:pPr>
        <w:pStyle w:val="Title"/>
        <w:rPr>
          <w:bCs/>
          <w:sz w:val="30"/>
          <w:szCs w:val="30"/>
        </w:rPr>
      </w:pPr>
      <w:r w:rsidRPr="000124C0">
        <w:rPr>
          <w:bCs/>
          <w:sz w:val="30"/>
          <w:szCs w:val="30"/>
        </w:rPr>
        <w:t>DeGroote School of Business</w:t>
      </w:r>
    </w:p>
    <w:p w14:paraId="711D0280" w14:textId="77777777" w:rsidR="008C622A" w:rsidRPr="000124C0" w:rsidRDefault="008C622A" w:rsidP="008C622A">
      <w:pPr>
        <w:pStyle w:val="Title"/>
        <w:rPr>
          <w:bCs/>
          <w:sz w:val="30"/>
          <w:szCs w:val="30"/>
        </w:rPr>
      </w:pPr>
      <w:r w:rsidRPr="000124C0">
        <w:rPr>
          <w:bCs/>
          <w:sz w:val="30"/>
          <w:szCs w:val="30"/>
        </w:rPr>
        <w:t>McMaster University</w:t>
      </w:r>
    </w:p>
    <w:p w14:paraId="00F5E795" w14:textId="77777777" w:rsidR="008C622A" w:rsidRPr="00D41DE6" w:rsidRDefault="008C622A" w:rsidP="008C622A">
      <w:pPr>
        <w:spacing w:after="0"/>
        <w:jc w:val="center"/>
        <w:rPr>
          <w:rFonts w:ascii="Arial" w:hAnsi="Arial" w:cs="Arial"/>
        </w:rPr>
      </w:pPr>
    </w:p>
    <w:p w14:paraId="74C1F500" w14:textId="77777777" w:rsidR="008C622A" w:rsidRPr="00F439C5" w:rsidRDefault="008C622A" w:rsidP="008C622A">
      <w:pPr>
        <w:pStyle w:val="Style1"/>
      </w:pPr>
      <w:r w:rsidRPr="00F439C5">
        <w:t>Course Objective</w:t>
      </w:r>
    </w:p>
    <w:p w14:paraId="4FE0F1D8" w14:textId="77777777" w:rsidR="008C622A" w:rsidRPr="00762FD8" w:rsidRDefault="008C622A" w:rsidP="008C622A">
      <w:pPr>
        <w:pStyle w:val="BodyText"/>
        <w:rPr>
          <w:rFonts w:ascii="Arial" w:hAnsi="Arial" w:cs="Arial"/>
          <w:sz w:val="28"/>
          <w:szCs w:val="28"/>
        </w:rPr>
      </w:pPr>
    </w:p>
    <w:p w14:paraId="5189DD74" w14:textId="77777777" w:rsidR="006D1BC0" w:rsidRPr="002F5AC6" w:rsidRDefault="006D1BC0" w:rsidP="006D1BC0">
      <w:pPr>
        <w:spacing w:after="0" w:line="240" w:lineRule="auto"/>
        <w:rPr>
          <w:sz w:val="24"/>
          <w:szCs w:val="24"/>
        </w:rPr>
      </w:pPr>
      <w:r w:rsidRPr="002F5AC6">
        <w:rPr>
          <w:rFonts w:ascii="Arial" w:hAnsi="Arial" w:cs="Arial"/>
          <w:noProof/>
          <w:sz w:val="20"/>
          <w:szCs w:val="20"/>
        </w:rPr>
        <w:t>This</w:t>
      </w:r>
      <w:r w:rsidRPr="002F5AC6">
        <w:rPr>
          <w:rFonts w:cstheme="minorHAnsi"/>
          <w:sz w:val="24"/>
          <w:szCs w:val="24"/>
        </w:rPr>
        <w:t xml:space="preserve"> course explores the emergence, evolution, and future of the tools and organizations that make modern finance possible.  </w:t>
      </w:r>
      <w:r>
        <w:rPr>
          <w:rFonts w:cstheme="minorHAnsi"/>
          <w:sz w:val="24"/>
          <w:szCs w:val="24"/>
        </w:rPr>
        <w:t>Through the</w:t>
      </w:r>
      <w:r w:rsidRPr="002F5AC6">
        <w:rPr>
          <w:rFonts w:cstheme="minorHAnsi"/>
          <w:sz w:val="24"/>
          <w:szCs w:val="24"/>
        </w:rPr>
        <w:t xml:space="preserve"> study</w:t>
      </w:r>
      <w:r>
        <w:rPr>
          <w:rFonts w:cstheme="minorHAnsi"/>
          <w:sz w:val="24"/>
          <w:szCs w:val="24"/>
        </w:rPr>
        <w:t xml:space="preserve"> of</w:t>
      </w:r>
      <w:r w:rsidRPr="002F5AC6">
        <w:rPr>
          <w:rFonts w:cstheme="minorHAnsi"/>
          <w:sz w:val="24"/>
          <w:szCs w:val="24"/>
        </w:rPr>
        <w:t xml:space="preserve"> the history of payments, debt, banking, corporations, markets, derivatives, pensions, insurance companies, and investment funds students will learn why such institutions are organized as they are today</w:t>
      </w:r>
      <w:r>
        <w:rPr>
          <w:rFonts w:cstheme="minorHAnsi"/>
          <w:sz w:val="24"/>
          <w:szCs w:val="24"/>
        </w:rPr>
        <w:t>.  Class discussions and the consideration of related case studies will provide students with modern perspectives and insights regarding</w:t>
      </w:r>
      <w:r w:rsidRPr="002F5AC6">
        <w:rPr>
          <w:rFonts w:cstheme="minorHAnsi"/>
          <w:sz w:val="24"/>
          <w:szCs w:val="24"/>
        </w:rPr>
        <w:t xml:space="preserve"> how better versions </w:t>
      </w:r>
      <w:r>
        <w:rPr>
          <w:rFonts w:cstheme="minorHAnsi"/>
          <w:sz w:val="24"/>
          <w:szCs w:val="24"/>
        </w:rPr>
        <w:t xml:space="preserve">might be designed </w:t>
      </w:r>
      <w:r w:rsidRPr="002F5AC6">
        <w:rPr>
          <w:rFonts w:cstheme="minorHAnsi"/>
          <w:sz w:val="24"/>
          <w:szCs w:val="24"/>
        </w:rPr>
        <w:t>to tackle the challenges of the 21</w:t>
      </w:r>
      <w:r w:rsidRPr="002F5AC6">
        <w:rPr>
          <w:rFonts w:cstheme="minorHAnsi"/>
          <w:sz w:val="24"/>
          <w:szCs w:val="24"/>
          <w:vertAlign w:val="superscript"/>
        </w:rPr>
        <w:t>st</w:t>
      </w:r>
      <w:r w:rsidRPr="002F5AC6">
        <w:rPr>
          <w:rFonts w:cstheme="minorHAnsi"/>
          <w:sz w:val="24"/>
          <w:szCs w:val="24"/>
        </w:rPr>
        <w:t xml:space="preserve"> century.  This course will be of particular interest to students interested in </w:t>
      </w:r>
      <w:r>
        <w:rPr>
          <w:rFonts w:cstheme="minorHAnsi"/>
          <w:sz w:val="24"/>
          <w:szCs w:val="24"/>
        </w:rPr>
        <w:t xml:space="preserve">world history, </w:t>
      </w:r>
      <w:r w:rsidRPr="002F5AC6">
        <w:rPr>
          <w:rFonts w:cstheme="minorHAnsi"/>
          <w:sz w:val="24"/>
          <w:szCs w:val="24"/>
        </w:rPr>
        <w:t>fintech</w:t>
      </w:r>
      <w:r>
        <w:rPr>
          <w:rFonts w:cstheme="minorHAnsi"/>
          <w:sz w:val="24"/>
          <w:szCs w:val="24"/>
        </w:rPr>
        <w:t>, and financial innovation in general</w:t>
      </w:r>
      <w:r w:rsidRPr="002F5AC6">
        <w:rPr>
          <w:rFonts w:cstheme="minorHAnsi"/>
          <w:sz w:val="24"/>
          <w:szCs w:val="24"/>
        </w:rPr>
        <w:t xml:space="preserve">. </w:t>
      </w:r>
    </w:p>
    <w:p w14:paraId="7E1CA338" w14:textId="77777777" w:rsidR="006D1BC0" w:rsidRDefault="006D1BC0" w:rsidP="006D1BC0">
      <w:pPr>
        <w:spacing w:after="0" w:line="240" w:lineRule="auto"/>
        <w:rPr>
          <w:rFonts w:ascii="Arial" w:hAnsi="Arial" w:cs="Arial"/>
        </w:rPr>
      </w:pPr>
    </w:p>
    <w:p w14:paraId="2BAEA8E3" w14:textId="77777777" w:rsidR="006D1BC0" w:rsidRDefault="006D1BC0" w:rsidP="006D1BC0">
      <w:pPr>
        <w:pStyle w:val="Style1"/>
      </w:pPr>
      <w:r>
        <w:t>Instructor and Contact Information</w:t>
      </w:r>
    </w:p>
    <w:p w14:paraId="6691C496" w14:textId="77777777" w:rsidR="006D1BC0" w:rsidRDefault="006D1BC0" w:rsidP="006D1BC0">
      <w:pPr>
        <w:spacing w:after="0" w:line="240" w:lineRule="auto"/>
        <w:rPr>
          <w:rFonts w:ascii="Arial" w:hAnsi="Arial" w:cs="Arial"/>
        </w:rPr>
      </w:pPr>
    </w:p>
    <w:tbl>
      <w:tblPr>
        <w:tblStyle w:val="TableGrid"/>
        <w:tblW w:w="35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tblGrid>
      <w:tr w:rsidR="006D1BC0" w:rsidRPr="0027057A" w14:paraId="17D5D352" w14:textId="77777777" w:rsidTr="00097082">
        <w:trPr>
          <w:jc w:val="center"/>
        </w:trPr>
        <w:tc>
          <w:tcPr>
            <w:tcW w:w="3596" w:type="dxa"/>
          </w:tcPr>
          <w:p w14:paraId="012F8A35" w14:textId="77777777" w:rsidR="006D1BC0" w:rsidRPr="0027057A" w:rsidRDefault="006D1BC0" w:rsidP="00097082">
            <w:pPr>
              <w:pStyle w:val="Footer"/>
              <w:jc w:val="center"/>
              <w:outlineLvl w:val="0"/>
              <w:rPr>
                <w:rFonts w:ascii="Arial" w:hAnsi="Arial" w:cs="Arial"/>
                <w:b/>
                <w:bCs/>
                <w:sz w:val="24"/>
                <w:szCs w:val="24"/>
              </w:rPr>
            </w:pPr>
          </w:p>
        </w:tc>
      </w:tr>
      <w:tr w:rsidR="006D1BC0" w:rsidRPr="0027057A" w14:paraId="2B202DD5" w14:textId="77777777" w:rsidTr="00097082">
        <w:trPr>
          <w:jc w:val="center"/>
        </w:trPr>
        <w:tc>
          <w:tcPr>
            <w:tcW w:w="3596" w:type="dxa"/>
          </w:tcPr>
          <w:p w14:paraId="0118AFE2" w14:textId="77777777" w:rsidR="006D1BC0" w:rsidRPr="0027057A" w:rsidRDefault="006D1BC0" w:rsidP="00097082">
            <w:pPr>
              <w:pStyle w:val="Footer"/>
              <w:jc w:val="center"/>
              <w:outlineLvl w:val="0"/>
              <w:rPr>
                <w:rFonts w:ascii="Arial" w:hAnsi="Arial" w:cs="Arial"/>
                <w:b/>
                <w:bCs/>
                <w:sz w:val="24"/>
                <w:szCs w:val="24"/>
              </w:rPr>
            </w:pPr>
            <w:r>
              <w:rPr>
                <w:rFonts w:ascii="Arial" w:hAnsi="Arial" w:cs="Arial"/>
                <w:b/>
                <w:bCs/>
                <w:sz w:val="24"/>
                <w:szCs w:val="24"/>
              </w:rPr>
              <w:t>William Huggins</w:t>
            </w:r>
          </w:p>
        </w:tc>
      </w:tr>
      <w:tr w:rsidR="006D1BC0" w:rsidRPr="0027057A" w14:paraId="4E76AA13" w14:textId="77777777" w:rsidTr="00097082">
        <w:trPr>
          <w:jc w:val="center"/>
        </w:trPr>
        <w:tc>
          <w:tcPr>
            <w:tcW w:w="3596" w:type="dxa"/>
          </w:tcPr>
          <w:p w14:paraId="0C8B1378"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Instructor</w:t>
            </w:r>
          </w:p>
        </w:tc>
      </w:tr>
      <w:tr w:rsidR="006D1BC0" w:rsidRPr="0027057A" w14:paraId="529A1BD0" w14:textId="77777777" w:rsidTr="00097082">
        <w:trPr>
          <w:jc w:val="center"/>
        </w:trPr>
        <w:tc>
          <w:tcPr>
            <w:tcW w:w="3596" w:type="dxa"/>
          </w:tcPr>
          <w:p w14:paraId="39677FAE" w14:textId="77777777" w:rsidR="006D1BC0" w:rsidRPr="0027057A" w:rsidRDefault="0038501D" w:rsidP="00097082">
            <w:pPr>
              <w:pStyle w:val="Footer"/>
              <w:jc w:val="center"/>
              <w:outlineLvl w:val="0"/>
              <w:rPr>
                <w:rFonts w:ascii="Arial" w:hAnsi="Arial" w:cs="Arial"/>
                <w:sz w:val="24"/>
                <w:szCs w:val="24"/>
              </w:rPr>
            </w:pPr>
            <w:hyperlink r:id="rId8" w:history="1">
              <w:r w:rsidR="006D1BC0" w:rsidRPr="00B527CF">
                <w:rPr>
                  <w:rStyle w:val="Hyperlink"/>
                  <w:rFonts w:cstheme="minorHAnsi"/>
                </w:rPr>
                <w:t>hu</w:t>
              </w:r>
              <w:r w:rsidR="006D1BC0" w:rsidRPr="00C25CD1">
                <w:rPr>
                  <w:rStyle w:val="Hyperlink"/>
                </w:rPr>
                <w:t>gginsw@mcmaster.ca</w:t>
              </w:r>
            </w:hyperlink>
            <w:r w:rsidR="006D1BC0" w:rsidRPr="0027057A">
              <w:rPr>
                <w:rFonts w:ascii="Arial" w:hAnsi="Arial" w:cs="Arial"/>
                <w:sz w:val="24"/>
                <w:szCs w:val="24"/>
              </w:rPr>
              <w:t xml:space="preserve"> </w:t>
            </w:r>
          </w:p>
        </w:tc>
      </w:tr>
      <w:tr w:rsidR="006D1BC0" w:rsidRPr="0027057A" w14:paraId="4A86B0EA" w14:textId="77777777" w:rsidTr="00097082">
        <w:trPr>
          <w:jc w:val="center"/>
        </w:trPr>
        <w:tc>
          <w:tcPr>
            <w:tcW w:w="3596" w:type="dxa"/>
          </w:tcPr>
          <w:p w14:paraId="7D29E016"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 xml:space="preserve">Office: </w:t>
            </w:r>
            <w:r>
              <w:rPr>
                <w:rFonts w:ascii="Arial" w:hAnsi="Arial" w:cs="Arial"/>
                <w:sz w:val="24"/>
                <w:szCs w:val="24"/>
              </w:rPr>
              <w:t>RJC XXX</w:t>
            </w:r>
          </w:p>
        </w:tc>
      </w:tr>
      <w:tr w:rsidR="006D1BC0" w:rsidRPr="0027057A" w14:paraId="5D5A78FC" w14:textId="77777777" w:rsidTr="00097082">
        <w:trPr>
          <w:jc w:val="center"/>
        </w:trPr>
        <w:tc>
          <w:tcPr>
            <w:tcW w:w="3596" w:type="dxa"/>
          </w:tcPr>
          <w:p w14:paraId="2C3DE3D7"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Office Hours: after class</w:t>
            </w:r>
          </w:p>
        </w:tc>
      </w:tr>
      <w:tr w:rsidR="006D1BC0" w:rsidRPr="0027057A" w14:paraId="1EFCA22C" w14:textId="77777777" w:rsidTr="00097082">
        <w:trPr>
          <w:jc w:val="center"/>
        </w:trPr>
        <w:tc>
          <w:tcPr>
            <w:tcW w:w="3596" w:type="dxa"/>
          </w:tcPr>
          <w:p w14:paraId="72E03921"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Tel: (</w:t>
            </w:r>
            <w:r>
              <w:rPr>
                <w:rFonts w:ascii="Arial" w:hAnsi="Arial" w:cs="Arial"/>
                <w:sz w:val="24"/>
                <w:szCs w:val="24"/>
              </w:rPr>
              <w:t>647</w:t>
            </w:r>
            <w:r w:rsidRPr="0027057A">
              <w:rPr>
                <w:rFonts w:ascii="Arial" w:hAnsi="Arial" w:cs="Arial"/>
                <w:sz w:val="24"/>
                <w:szCs w:val="24"/>
              </w:rPr>
              <w:t xml:space="preserve">) </w:t>
            </w:r>
            <w:r>
              <w:rPr>
                <w:rFonts w:ascii="Arial" w:hAnsi="Arial" w:cs="Arial"/>
                <w:sz w:val="24"/>
                <w:szCs w:val="24"/>
              </w:rPr>
              <w:t>289-9240</w:t>
            </w:r>
          </w:p>
        </w:tc>
      </w:tr>
      <w:tr w:rsidR="006D1BC0" w:rsidRPr="0027057A" w14:paraId="07C448AD" w14:textId="77777777" w:rsidTr="00097082">
        <w:trPr>
          <w:jc w:val="center"/>
        </w:trPr>
        <w:tc>
          <w:tcPr>
            <w:tcW w:w="3596" w:type="dxa"/>
          </w:tcPr>
          <w:p w14:paraId="5CE63D23"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 xml:space="preserve">Class Location: </w:t>
            </w:r>
            <w:r>
              <w:rPr>
                <w:rFonts w:ascii="Arial" w:hAnsi="Arial" w:cs="Arial"/>
                <w:sz w:val="24"/>
                <w:szCs w:val="24"/>
              </w:rPr>
              <w:t>TBA</w:t>
            </w:r>
          </w:p>
        </w:tc>
      </w:tr>
    </w:tbl>
    <w:p w14:paraId="1024C9FA" w14:textId="77777777" w:rsidR="006D1BC0" w:rsidRPr="0027057A" w:rsidRDefault="006D1BC0" w:rsidP="006D1BC0">
      <w:pPr>
        <w:spacing w:after="0" w:line="240" w:lineRule="auto"/>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tblGrid>
      <w:tr w:rsidR="006D1BC0" w:rsidRPr="0027057A" w14:paraId="399536A3" w14:textId="77777777" w:rsidTr="00097082">
        <w:trPr>
          <w:jc w:val="center"/>
        </w:trPr>
        <w:tc>
          <w:tcPr>
            <w:tcW w:w="0" w:type="auto"/>
          </w:tcPr>
          <w:p w14:paraId="6E6526FA" w14:textId="77777777" w:rsidR="006D1BC0" w:rsidRPr="0027057A" w:rsidRDefault="006D1BC0" w:rsidP="00097082">
            <w:pPr>
              <w:pStyle w:val="Footer"/>
              <w:jc w:val="center"/>
              <w:outlineLvl w:val="0"/>
              <w:rPr>
                <w:rFonts w:ascii="Arial" w:hAnsi="Arial" w:cs="Arial"/>
                <w:b/>
                <w:bCs/>
                <w:sz w:val="24"/>
                <w:szCs w:val="24"/>
              </w:rPr>
            </w:pPr>
            <w:r w:rsidRPr="0027057A">
              <w:rPr>
                <w:rFonts w:ascii="Arial" w:hAnsi="Arial" w:cs="Arial"/>
                <w:b/>
                <w:bCs/>
                <w:sz w:val="24"/>
                <w:szCs w:val="24"/>
              </w:rPr>
              <w:t>Student TA</w:t>
            </w:r>
          </w:p>
        </w:tc>
      </w:tr>
      <w:tr w:rsidR="006D1BC0" w:rsidRPr="0027057A" w14:paraId="28AAA173" w14:textId="77777777" w:rsidTr="00097082">
        <w:trPr>
          <w:jc w:val="center"/>
        </w:trPr>
        <w:tc>
          <w:tcPr>
            <w:tcW w:w="0" w:type="auto"/>
          </w:tcPr>
          <w:p w14:paraId="2C5DE1C2"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TA</w:t>
            </w:r>
          </w:p>
        </w:tc>
      </w:tr>
      <w:tr w:rsidR="006D1BC0" w:rsidRPr="0027057A" w14:paraId="7061DBF3" w14:textId="77777777" w:rsidTr="00097082">
        <w:trPr>
          <w:jc w:val="center"/>
        </w:trPr>
        <w:tc>
          <w:tcPr>
            <w:tcW w:w="0" w:type="auto"/>
          </w:tcPr>
          <w:p w14:paraId="350087AE"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TAsMACID@mcmaster.ca</w:t>
            </w:r>
          </w:p>
        </w:tc>
      </w:tr>
      <w:tr w:rsidR="006D1BC0" w:rsidRPr="0027057A" w14:paraId="306FCB29" w14:textId="77777777" w:rsidTr="00097082">
        <w:trPr>
          <w:jc w:val="center"/>
        </w:trPr>
        <w:tc>
          <w:tcPr>
            <w:tcW w:w="0" w:type="auto"/>
          </w:tcPr>
          <w:p w14:paraId="753FECE4"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Office: DSB 218</w:t>
            </w:r>
          </w:p>
        </w:tc>
      </w:tr>
      <w:tr w:rsidR="006D1BC0" w:rsidRPr="0027057A" w14:paraId="43EADAB3" w14:textId="77777777" w:rsidTr="00097082">
        <w:trPr>
          <w:jc w:val="center"/>
        </w:trPr>
        <w:tc>
          <w:tcPr>
            <w:tcW w:w="0" w:type="auto"/>
          </w:tcPr>
          <w:p w14:paraId="4BD19FC3"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Office Hours: Mon 1-4pm</w:t>
            </w:r>
          </w:p>
        </w:tc>
      </w:tr>
      <w:tr w:rsidR="006D1BC0" w:rsidRPr="0027057A" w14:paraId="38377F2B" w14:textId="77777777" w:rsidTr="00097082">
        <w:trPr>
          <w:jc w:val="center"/>
        </w:trPr>
        <w:tc>
          <w:tcPr>
            <w:tcW w:w="0" w:type="auto"/>
          </w:tcPr>
          <w:p w14:paraId="23D4DD38" w14:textId="77777777" w:rsidR="006D1BC0" w:rsidRPr="0027057A" w:rsidRDefault="006D1BC0" w:rsidP="00097082">
            <w:pPr>
              <w:pStyle w:val="Footer"/>
              <w:jc w:val="center"/>
              <w:outlineLvl w:val="0"/>
              <w:rPr>
                <w:rFonts w:ascii="Arial" w:hAnsi="Arial" w:cs="Arial"/>
                <w:sz w:val="24"/>
                <w:szCs w:val="24"/>
              </w:rPr>
            </w:pPr>
            <w:r w:rsidRPr="0027057A">
              <w:rPr>
                <w:rFonts w:ascii="Arial" w:hAnsi="Arial" w:cs="Arial"/>
                <w:sz w:val="24"/>
                <w:szCs w:val="24"/>
              </w:rPr>
              <w:t>Tel: (905) 525-9140 x27438</w:t>
            </w:r>
          </w:p>
        </w:tc>
      </w:tr>
      <w:tr w:rsidR="006D1BC0" w:rsidRPr="0027057A" w14:paraId="27DE217A" w14:textId="77777777" w:rsidTr="00097082">
        <w:trPr>
          <w:jc w:val="center"/>
        </w:trPr>
        <w:tc>
          <w:tcPr>
            <w:tcW w:w="0" w:type="auto"/>
          </w:tcPr>
          <w:p w14:paraId="44165596" w14:textId="77777777" w:rsidR="006D1BC0" w:rsidRPr="0027057A" w:rsidRDefault="006D1BC0" w:rsidP="00097082">
            <w:pPr>
              <w:pStyle w:val="Footer"/>
              <w:jc w:val="center"/>
              <w:outlineLvl w:val="0"/>
              <w:rPr>
                <w:rFonts w:ascii="Arial" w:hAnsi="Arial" w:cs="Arial"/>
                <w:sz w:val="24"/>
                <w:szCs w:val="24"/>
              </w:rPr>
            </w:pPr>
          </w:p>
        </w:tc>
      </w:tr>
    </w:tbl>
    <w:p w14:paraId="0FB711D3" w14:textId="77777777" w:rsidR="006D1BC0" w:rsidRDefault="006D1BC0" w:rsidP="006D1BC0">
      <w:pPr>
        <w:spacing w:after="0" w:line="240" w:lineRule="auto"/>
        <w:rPr>
          <w:rFonts w:ascii="Arial" w:hAnsi="Arial" w:cs="Arial"/>
        </w:rPr>
      </w:pPr>
    </w:p>
    <w:p w14:paraId="7D339095" w14:textId="77777777" w:rsidR="006D1BC0" w:rsidRDefault="006D1BC0" w:rsidP="006D1BC0">
      <w:pPr>
        <w:spacing w:after="0" w:line="240" w:lineRule="auto"/>
        <w:rPr>
          <w:rFonts w:ascii="Arial" w:hAnsi="Arial" w:cs="Arial"/>
          <w:sz w:val="24"/>
        </w:rPr>
      </w:pPr>
      <w:r w:rsidRPr="00631666">
        <w:rPr>
          <w:rFonts w:ascii="Arial" w:hAnsi="Arial" w:cs="Arial"/>
          <w:b/>
          <w:sz w:val="24"/>
        </w:rPr>
        <w:t xml:space="preserve">Course website: </w:t>
      </w:r>
      <w:r>
        <w:rPr>
          <w:rFonts w:ascii="Arial" w:hAnsi="Arial" w:cs="Arial"/>
          <w:sz w:val="24"/>
        </w:rPr>
        <w:t>Avenue to Learn</w:t>
      </w:r>
    </w:p>
    <w:p w14:paraId="5C20F778" w14:textId="77777777" w:rsidR="008C622A" w:rsidRDefault="008C622A" w:rsidP="008C622A">
      <w:pPr>
        <w:pStyle w:val="Style1"/>
      </w:pPr>
      <w:r>
        <w:lastRenderedPageBreak/>
        <w:t>Course Elements</w:t>
      </w:r>
    </w:p>
    <w:p w14:paraId="77C2A051" w14:textId="77777777" w:rsidR="008C622A" w:rsidRDefault="008C622A" w:rsidP="008C622A">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6D1BC0" w:rsidRPr="0027057A" w14:paraId="7A286E31" w14:textId="77777777" w:rsidTr="00762FD8">
        <w:trPr>
          <w:jc w:val="center"/>
        </w:trPr>
        <w:tc>
          <w:tcPr>
            <w:tcW w:w="983" w:type="pct"/>
            <w:shd w:val="clear" w:color="auto" w:fill="FFFFFF"/>
          </w:tcPr>
          <w:p w14:paraId="008D2895" w14:textId="5F38DE4C" w:rsidR="006D1BC0" w:rsidRPr="00762FD8" w:rsidRDefault="006D1BC0" w:rsidP="006D1BC0">
            <w:pPr>
              <w:spacing w:after="0" w:line="240" w:lineRule="auto"/>
              <w:jc w:val="right"/>
              <w:rPr>
                <w:rFonts w:ascii="Arial" w:hAnsi="Arial" w:cs="Arial"/>
                <w:szCs w:val="24"/>
              </w:rPr>
            </w:pPr>
            <w:r w:rsidRPr="0027057A">
              <w:rPr>
                <w:rFonts w:ascii="Arial" w:hAnsi="Arial" w:cs="Arial"/>
              </w:rPr>
              <w:t>Credit Value:</w:t>
            </w:r>
          </w:p>
        </w:tc>
        <w:tc>
          <w:tcPr>
            <w:tcW w:w="487" w:type="pct"/>
            <w:shd w:val="clear" w:color="auto" w:fill="FFFFFF"/>
          </w:tcPr>
          <w:p w14:paraId="425A97FF" w14:textId="6EEAF469" w:rsidR="006D1BC0" w:rsidRPr="00762FD8" w:rsidRDefault="006D1BC0" w:rsidP="006D1BC0">
            <w:pPr>
              <w:spacing w:after="0" w:line="240" w:lineRule="auto"/>
              <w:rPr>
                <w:rFonts w:ascii="Arial" w:hAnsi="Arial" w:cs="Arial"/>
                <w:szCs w:val="24"/>
              </w:rPr>
            </w:pPr>
            <w:r w:rsidRPr="0027057A">
              <w:rPr>
                <w:rFonts w:ascii="Arial" w:hAnsi="Arial" w:cs="Arial"/>
              </w:rPr>
              <w:t>3</w:t>
            </w:r>
          </w:p>
        </w:tc>
        <w:tc>
          <w:tcPr>
            <w:tcW w:w="756" w:type="pct"/>
            <w:shd w:val="clear" w:color="auto" w:fill="FFFFFF"/>
          </w:tcPr>
          <w:p w14:paraId="2885F080" w14:textId="4F275E10" w:rsidR="006D1BC0" w:rsidRPr="00762FD8" w:rsidRDefault="006D1BC0" w:rsidP="006D1BC0">
            <w:pPr>
              <w:spacing w:after="0" w:line="240" w:lineRule="auto"/>
              <w:jc w:val="right"/>
              <w:rPr>
                <w:rFonts w:ascii="Arial" w:hAnsi="Arial" w:cs="Arial"/>
                <w:szCs w:val="24"/>
              </w:rPr>
            </w:pPr>
            <w:r w:rsidRPr="0027057A">
              <w:rPr>
                <w:rFonts w:ascii="Arial" w:hAnsi="Arial" w:cs="Arial"/>
              </w:rPr>
              <w:t>Leadership:</w:t>
            </w:r>
          </w:p>
        </w:tc>
        <w:tc>
          <w:tcPr>
            <w:tcW w:w="465" w:type="pct"/>
            <w:shd w:val="clear" w:color="auto" w:fill="FFFFFF"/>
          </w:tcPr>
          <w:p w14:paraId="35681BCB" w14:textId="0DD3CCC3" w:rsidR="006D1BC0" w:rsidRPr="00762FD8" w:rsidRDefault="006D1BC0" w:rsidP="006D1BC0">
            <w:pPr>
              <w:spacing w:after="0" w:line="240" w:lineRule="auto"/>
              <w:rPr>
                <w:rFonts w:ascii="Arial" w:hAnsi="Arial" w:cs="Arial"/>
                <w:szCs w:val="24"/>
              </w:rPr>
            </w:pPr>
            <w:r>
              <w:rPr>
                <w:rFonts w:ascii="Arial" w:hAnsi="Arial" w:cs="Arial"/>
              </w:rPr>
              <w:t>No</w:t>
            </w:r>
          </w:p>
        </w:tc>
        <w:tc>
          <w:tcPr>
            <w:tcW w:w="678" w:type="pct"/>
            <w:shd w:val="clear" w:color="auto" w:fill="FFFFFF"/>
          </w:tcPr>
          <w:p w14:paraId="75FF048C" w14:textId="20AFECAD" w:rsidR="006D1BC0" w:rsidRPr="00762FD8" w:rsidRDefault="006D1BC0" w:rsidP="006D1BC0">
            <w:pPr>
              <w:spacing w:after="0" w:line="240" w:lineRule="auto"/>
              <w:jc w:val="right"/>
              <w:rPr>
                <w:rFonts w:ascii="Arial" w:hAnsi="Arial" w:cs="Arial"/>
                <w:szCs w:val="24"/>
              </w:rPr>
            </w:pPr>
            <w:r w:rsidRPr="0027057A">
              <w:rPr>
                <w:rFonts w:ascii="Arial" w:hAnsi="Arial" w:cs="Arial"/>
              </w:rPr>
              <w:t>IT skills:</w:t>
            </w:r>
          </w:p>
        </w:tc>
        <w:tc>
          <w:tcPr>
            <w:tcW w:w="448" w:type="pct"/>
            <w:shd w:val="clear" w:color="auto" w:fill="FFFFFF"/>
          </w:tcPr>
          <w:p w14:paraId="535E6BD7" w14:textId="553A76EF" w:rsidR="006D1BC0" w:rsidRPr="00762FD8" w:rsidRDefault="006D1BC0" w:rsidP="006D1BC0">
            <w:pPr>
              <w:spacing w:after="0" w:line="240" w:lineRule="auto"/>
              <w:rPr>
                <w:rFonts w:ascii="Arial" w:hAnsi="Arial" w:cs="Arial"/>
                <w:szCs w:val="24"/>
              </w:rPr>
            </w:pPr>
            <w:r w:rsidRPr="0027057A">
              <w:rPr>
                <w:rFonts w:ascii="Arial" w:hAnsi="Arial" w:cs="Arial"/>
              </w:rPr>
              <w:t>No</w:t>
            </w:r>
          </w:p>
        </w:tc>
        <w:tc>
          <w:tcPr>
            <w:tcW w:w="868" w:type="pct"/>
            <w:shd w:val="clear" w:color="auto" w:fill="FFFFFF"/>
          </w:tcPr>
          <w:p w14:paraId="685BF00B" w14:textId="52EF551C" w:rsidR="006D1BC0" w:rsidRPr="00762FD8" w:rsidRDefault="006D1BC0" w:rsidP="006D1BC0">
            <w:pPr>
              <w:spacing w:after="0" w:line="240" w:lineRule="auto"/>
              <w:jc w:val="right"/>
              <w:rPr>
                <w:rFonts w:ascii="Arial" w:hAnsi="Arial" w:cs="Arial"/>
                <w:szCs w:val="24"/>
              </w:rPr>
            </w:pPr>
            <w:r w:rsidRPr="0027057A">
              <w:rPr>
                <w:rFonts w:ascii="Arial" w:hAnsi="Arial" w:cs="Arial"/>
              </w:rPr>
              <w:t>Global view:</w:t>
            </w:r>
          </w:p>
        </w:tc>
        <w:tc>
          <w:tcPr>
            <w:tcW w:w="315" w:type="pct"/>
            <w:shd w:val="clear" w:color="auto" w:fill="FFFFFF"/>
          </w:tcPr>
          <w:p w14:paraId="2A14C724" w14:textId="34E7A449" w:rsidR="006D1BC0" w:rsidRPr="00762FD8" w:rsidRDefault="006D1BC0" w:rsidP="006D1BC0">
            <w:pPr>
              <w:spacing w:after="0" w:line="240" w:lineRule="auto"/>
              <w:rPr>
                <w:rFonts w:ascii="Arial" w:hAnsi="Arial" w:cs="Arial"/>
                <w:szCs w:val="24"/>
              </w:rPr>
            </w:pPr>
            <w:r w:rsidRPr="0027057A">
              <w:rPr>
                <w:rFonts w:ascii="Arial" w:hAnsi="Arial" w:cs="Arial"/>
              </w:rPr>
              <w:t>Yes</w:t>
            </w:r>
          </w:p>
        </w:tc>
      </w:tr>
      <w:tr w:rsidR="006D1BC0" w:rsidRPr="0027057A" w14:paraId="3D8D6CAD" w14:textId="77777777" w:rsidTr="00762FD8">
        <w:trPr>
          <w:jc w:val="center"/>
        </w:trPr>
        <w:tc>
          <w:tcPr>
            <w:tcW w:w="983" w:type="pct"/>
            <w:shd w:val="clear" w:color="auto" w:fill="FFFFFF"/>
          </w:tcPr>
          <w:p w14:paraId="7C183DE4" w14:textId="6A60BD60" w:rsidR="006D1BC0" w:rsidRPr="00762FD8" w:rsidRDefault="006D1BC0" w:rsidP="006D1BC0">
            <w:pPr>
              <w:spacing w:after="0" w:line="240" w:lineRule="auto"/>
              <w:jc w:val="right"/>
              <w:rPr>
                <w:rFonts w:ascii="Arial" w:hAnsi="Arial" w:cs="Arial"/>
                <w:szCs w:val="24"/>
              </w:rPr>
            </w:pPr>
            <w:r>
              <w:rPr>
                <w:rFonts w:ascii="Arial" w:hAnsi="Arial" w:cs="Arial"/>
              </w:rPr>
              <w:t>Avenue</w:t>
            </w:r>
            <w:r w:rsidRPr="0027057A">
              <w:rPr>
                <w:rFonts w:ascii="Arial" w:hAnsi="Arial" w:cs="Arial"/>
              </w:rPr>
              <w:t>:</w:t>
            </w:r>
          </w:p>
        </w:tc>
        <w:tc>
          <w:tcPr>
            <w:tcW w:w="487" w:type="pct"/>
            <w:shd w:val="clear" w:color="auto" w:fill="FFFFFF"/>
          </w:tcPr>
          <w:p w14:paraId="490B49D7" w14:textId="4C21115A" w:rsidR="006D1BC0" w:rsidRPr="00762FD8" w:rsidRDefault="006D1BC0" w:rsidP="006D1BC0">
            <w:pPr>
              <w:spacing w:after="0" w:line="240" w:lineRule="auto"/>
              <w:rPr>
                <w:rFonts w:ascii="Arial" w:hAnsi="Arial" w:cs="Arial"/>
                <w:szCs w:val="24"/>
              </w:rPr>
            </w:pPr>
            <w:r w:rsidRPr="0027057A">
              <w:rPr>
                <w:rFonts w:ascii="Arial" w:hAnsi="Arial" w:cs="Arial"/>
              </w:rPr>
              <w:t>Yes</w:t>
            </w:r>
          </w:p>
        </w:tc>
        <w:tc>
          <w:tcPr>
            <w:tcW w:w="756" w:type="pct"/>
            <w:shd w:val="clear" w:color="auto" w:fill="FFFFFF"/>
          </w:tcPr>
          <w:p w14:paraId="511C9A3E" w14:textId="39D79D81" w:rsidR="006D1BC0" w:rsidRPr="00762FD8" w:rsidRDefault="006D1BC0" w:rsidP="006D1BC0">
            <w:pPr>
              <w:spacing w:after="0" w:line="240" w:lineRule="auto"/>
              <w:jc w:val="right"/>
              <w:rPr>
                <w:rFonts w:ascii="Arial" w:hAnsi="Arial" w:cs="Arial"/>
                <w:szCs w:val="24"/>
              </w:rPr>
            </w:pPr>
            <w:r w:rsidRPr="0027057A">
              <w:rPr>
                <w:rFonts w:ascii="Arial" w:hAnsi="Arial" w:cs="Arial"/>
              </w:rPr>
              <w:t>Ethics:</w:t>
            </w:r>
          </w:p>
        </w:tc>
        <w:tc>
          <w:tcPr>
            <w:tcW w:w="465" w:type="pct"/>
            <w:shd w:val="clear" w:color="auto" w:fill="FFFFFF"/>
          </w:tcPr>
          <w:p w14:paraId="51560DE5" w14:textId="77F130CB" w:rsidR="006D1BC0" w:rsidRPr="00762FD8" w:rsidRDefault="006D1BC0" w:rsidP="006D1BC0">
            <w:pPr>
              <w:spacing w:after="0" w:line="240" w:lineRule="auto"/>
              <w:rPr>
                <w:rFonts w:ascii="Arial" w:hAnsi="Arial" w:cs="Arial"/>
                <w:szCs w:val="24"/>
              </w:rPr>
            </w:pPr>
            <w:r>
              <w:rPr>
                <w:rFonts w:ascii="Arial" w:hAnsi="Arial" w:cs="Arial"/>
              </w:rPr>
              <w:t>Yes</w:t>
            </w:r>
          </w:p>
        </w:tc>
        <w:tc>
          <w:tcPr>
            <w:tcW w:w="678" w:type="pct"/>
            <w:shd w:val="clear" w:color="auto" w:fill="FFFFFF"/>
          </w:tcPr>
          <w:p w14:paraId="6D5FEE12" w14:textId="781AF16F" w:rsidR="006D1BC0" w:rsidRPr="00762FD8" w:rsidRDefault="006D1BC0" w:rsidP="006D1BC0">
            <w:pPr>
              <w:spacing w:after="0" w:line="240" w:lineRule="auto"/>
              <w:jc w:val="right"/>
              <w:rPr>
                <w:rFonts w:ascii="Arial" w:hAnsi="Arial" w:cs="Arial"/>
                <w:szCs w:val="24"/>
              </w:rPr>
            </w:pPr>
            <w:r w:rsidRPr="0027057A">
              <w:rPr>
                <w:rFonts w:ascii="Arial" w:hAnsi="Arial" w:cs="Arial"/>
              </w:rPr>
              <w:t>Numeracy:</w:t>
            </w:r>
          </w:p>
        </w:tc>
        <w:tc>
          <w:tcPr>
            <w:tcW w:w="448" w:type="pct"/>
            <w:shd w:val="clear" w:color="auto" w:fill="FFFFFF"/>
          </w:tcPr>
          <w:p w14:paraId="143D0740" w14:textId="58D1B923" w:rsidR="006D1BC0" w:rsidRPr="00762FD8" w:rsidRDefault="006D1BC0" w:rsidP="006D1BC0">
            <w:pPr>
              <w:spacing w:after="0" w:line="240" w:lineRule="auto"/>
              <w:rPr>
                <w:rFonts w:ascii="Arial" w:hAnsi="Arial" w:cs="Arial"/>
                <w:szCs w:val="24"/>
              </w:rPr>
            </w:pPr>
            <w:r>
              <w:rPr>
                <w:rFonts w:ascii="Arial" w:hAnsi="Arial" w:cs="Arial"/>
              </w:rPr>
              <w:t>No</w:t>
            </w:r>
          </w:p>
        </w:tc>
        <w:tc>
          <w:tcPr>
            <w:tcW w:w="868" w:type="pct"/>
            <w:shd w:val="clear" w:color="auto" w:fill="FFFFFF"/>
          </w:tcPr>
          <w:p w14:paraId="044BEC82" w14:textId="3ACEA363" w:rsidR="006D1BC0" w:rsidRPr="00762FD8" w:rsidRDefault="006D1BC0" w:rsidP="006D1BC0">
            <w:pPr>
              <w:spacing w:after="0" w:line="240" w:lineRule="auto"/>
              <w:jc w:val="right"/>
              <w:rPr>
                <w:rFonts w:ascii="Arial" w:hAnsi="Arial" w:cs="Arial"/>
                <w:szCs w:val="24"/>
              </w:rPr>
            </w:pPr>
            <w:r w:rsidRPr="0027057A">
              <w:rPr>
                <w:rFonts w:ascii="Arial" w:hAnsi="Arial" w:cs="Arial"/>
              </w:rPr>
              <w:t>Written skills:</w:t>
            </w:r>
          </w:p>
        </w:tc>
        <w:tc>
          <w:tcPr>
            <w:tcW w:w="315" w:type="pct"/>
            <w:shd w:val="clear" w:color="auto" w:fill="FFFFFF"/>
          </w:tcPr>
          <w:p w14:paraId="6FBCEAED" w14:textId="65AFC227" w:rsidR="006D1BC0" w:rsidRPr="00762FD8" w:rsidRDefault="006D1BC0" w:rsidP="006D1BC0">
            <w:pPr>
              <w:spacing w:after="0" w:line="240" w:lineRule="auto"/>
              <w:rPr>
                <w:rFonts w:ascii="Arial" w:hAnsi="Arial" w:cs="Arial"/>
                <w:szCs w:val="24"/>
              </w:rPr>
            </w:pPr>
            <w:r>
              <w:rPr>
                <w:rFonts w:ascii="Arial" w:hAnsi="Arial" w:cs="Arial"/>
              </w:rPr>
              <w:t>Yes</w:t>
            </w:r>
          </w:p>
        </w:tc>
      </w:tr>
      <w:tr w:rsidR="006D1BC0" w:rsidRPr="0027057A" w14:paraId="028DDE01" w14:textId="77777777" w:rsidTr="00762FD8">
        <w:trPr>
          <w:jc w:val="center"/>
        </w:trPr>
        <w:tc>
          <w:tcPr>
            <w:tcW w:w="983" w:type="pct"/>
            <w:shd w:val="clear" w:color="auto" w:fill="FFFFFF"/>
          </w:tcPr>
          <w:p w14:paraId="758EF5F2" w14:textId="137960FB" w:rsidR="006D1BC0" w:rsidRPr="00762FD8" w:rsidRDefault="006D1BC0" w:rsidP="006D1BC0">
            <w:pPr>
              <w:spacing w:after="0" w:line="240" w:lineRule="auto"/>
              <w:jc w:val="right"/>
              <w:rPr>
                <w:rFonts w:ascii="Arial" w:hAnsi="Arial" w:cs="Arial"/>
                <w:szCs w:val="24"/>
              </w:rPr>
            </w:pPr>
            <w:r w:rsidRPr="0027057A">
              <w:rPr>
                <w:rFonts w:ascii="Arial" w:hAnsi="Arial" w:cs="Arial"/>
              </w:rPr>
              <w:t>Participation:</w:t>
            </w:r>
          </w:p>
        </w:tc>
        <w:tc>
          <w:tcPr>
            <w:tcW w:w="487" w:type="pct"/>
            <w:shd w:val="clear" w:color="auto" w:fill="FFFFFF"/>
          </w:tcPr>
          <w:p w14:paraId="087E4199" w14:textId="7C28C1AA" w:rsidR="006D1BC0" w:rsidRPr="00762FD8" w:rsidRDefault="006D1BC0" w:rsidP="006D1BC0">
            <w:pPr>
              <w:spacing w:after="0" w:line="240" w:lineRule="auto"/>
              <w:rPr>
                <w:rFonts w:ascii="Arial" w:hAnsi="Arial" w:cs="Arial"/>
                <w:szCs w:val="24"/>
              </w:rPr>
            </w:pPr>
            <w:r>
              <w:rPr>
                <w:rFonts w:ascii="Arial" w:hAnsi="Arial" w:cs="Arial"/>
              </w:rPr>
              <w:t>Yes</w:t>
            </w:r>
          </w:p>
        </w:tc>
        <w:tc>
          <w:tcPr>
            <w:tcW w:w="756" w:type="pct"/>
            <w:shd w:val="clear" w:color="auto" w:fill="FFFFFF"/>
          </w:tcPr>
          <w:p w14:paraId="6EA747A5" w14:textId="3EE63564" w:rsidR="006D1BC0" w:rsidRPr="00762FD8" w:rsidRDefault="006D1BC0" w:rsidP="006D1BC0">
            <w:pPr>
              <w:spacing w:after="0" w:line="240" w:lineRule="auto"/>
              <w:jc w:val="right"/>
              <w:rPr>
                <w:rFonts w:ascii="Arial" w:hAnsi="Arial" w:cs="Arial"/>
                <w:szCs w:val="24"/>
              </w:rPr>
            </w:pPr>
            <w:r w:rsidRPr="0027057A">
              <w:rPr>
                <w:rFonts w:ascii="Arial" w:hAnsi="Arial" w:cs="Arial"/>
              </w:rPr>
              <w:t>Innovation:</w:t>
            </w:r>
          </w:p>
        </w:tc>
        <w:tc>
          <w:tcPr>
            <w:tcW w:w="465" w:type="pct"/>
            <w:shd w:val="clear" w:color="auto" w:fill="FFFFFF"/>
          </w:tcPr>
          <w:p w14:paraId="22748692" w14:textId="7916BB51" w:rsidR="006D1BC0" w:rsidRPr="00762FD8" w:rsidRDefault="006D1BC0" w:rsidP="006D1BC0">
            <w:pPr>
              <w:spacing w:after="0" w:line="240" w:lineRule="auto"/>
              <w:rPr>
                <w:rFonts w:ascii="Arial" w:hAnsi="Arial" w:cs="Arial"/>
                <w:szCs w:val="24"/>
              </w:rPr>
            </w:pPr>
            <w:r w:rsidRPr="0027057A">
              <w:rPr>
                <w:rFonts w:ascii="Arial" w:hAnsi="Arial" w:cs="Arial"/>
              </w:rPr>
              <w:t>Yes</w:t>
            </w:r>
          </w:p>
        </w:tc>
        <w:tc>
          <w:tcPr>
            <w:tcW w:w="678" w:type="pct"/>
            <w:shd w:val="clear" w:color="auto" w:fill="FFFFFF"/>
          </w:tcPr>
          <w:p w14:paraId="6B5B4BCE" w14:textId="0B9A7C1B" w:rsidR="006D1BC0" w:rsidRPr="00762FD8" w:rsidRDefault="006D1BC0" w:rsidP="006D1BC0">
            <w:pPr>
              <w:spacing w:after="0" w:line="240" w:lineRule="auto"/>
              <w:jc w:val="right"/>
              <w:rPr>
                <w:rFonts w:ascii="Arial" w:hAnsi="Arial" w:cs="Arial"/>
                <w:szCs w:val="24"/>
              </w:rPr>
            </w:pPr>
            <w:r w:rsidRPr="0027057A">
              <w:rPr>
                <w:rFonts w:ascii="Arial" w:hAnsi="Arial" w:cs="Arial"/>
              </w:rPr>
              <w:t>Group work:</w:t>
            </w:r>
          </w:p>
        </w:tc>
        <w:tc>
          <w:tcPr>
            <w:tcW w:w="448" w:type="pct"/>
            <w:shd w:val="clear" w:color="auto" w:fill="FFFFFF"/>
          </w:tcPr>
          <w:p w14:paraId="28780397" w14:textId="1D60DE89" w:rsidR="006D1BC0" w:rsidRPr="00762FD8" w:rsidRDefault="006D1BC0" w:rsidP="006D1BC0">
            <w:pPr>
              <w:spacing w:after="0" w:line="240" w:lineRule="auto"/>
              <w:rPr>
                <w:rFonts w:ascii="Arial" w:hAnsi="Arial" w:cs="Arial"/>
                <w:szCs w:val="24"/>
              </w:rPr>
            </w:pPr>
            <w:r w:rsidRPr="0027057A">
              <w:rPr>
                <w:rFonts w:ascii="Arial" w:hAnsi="Arial" w:cs="Arial"/>
              </w:rPr>
              <w:t>Yes</w:t>
            </w:r>
          </w:p>
        </w:tc>
        <w:tc>
          <w:tcPr>
            <w:tcW w:w="868" w:type="pct"/>
            <w:shd w:val="clear" w:color="auto" w:fill="FFFFFF"/>
          </w:tcPr>
          <w:p w14:paraId="1F2E851C" w14:textId="1D04325F" w:rsidR="006D1BC0" w:rsidRPr="00762FD8" w:rsidRDefault="006D1BC0" w:rsidP="006D1BC0">
            <w:pPr>
              <w:spacing w:after="0" w:line="240" w:lineRule="auto"/>
              <w:jc w:val="right"/>
              <w:rPr>
                <w:rFonts w:ascii="Arial" w:hAnsi="Arial" w:cs="Arial"/>
                <w:szCs w:val="24"/>
              </w:rPr>
            </w:pPr>
            <w:r w:rsidRPr="0027057A">
              <w:rPr>
                <w:rFonts w:ascii="Arial" w:hAnsi="Arial" w:cs="Arial"/>
              </w:rPr>
              <w:t>Oral skills:</w:t>
            </w:r>
          </w:p>
        </w:tc>
        <w:tc>
          <w:tcPr>
            <w:tcW w:w="315" w:type="pct"/>
            <w:shd w:val="clear" w:color="auto" w:fill="FFFFFF"/>
          </w:tcPr>
          <w:p w14:paraId="56B54110" w14:textId="22D8CE84" w:rsidR="006D1BC0" w:rsidRPr="00762FD8" w:rsidRDefault="006D1BC0" w:rsidP="006D1BC0">
            <w:pPr>
              <w:spacing w:after="0" w:line="240" w:lineRule="auto"/>
              <w:rPr>
                <w:rFonts w:ascii="Arial" w:hAnsi="Arial" w:cs="Arial"/>
                <w:szCs w:val="24"/>
              </w:rPr>
            </w:pPr>
            <w:r>
              <w:rPr>
                <w:rFonts w:ascii="Arial" w:hAnsi="Arial" w:cs="Arial"/>
              </w:rPr>
              <w:t>No</w:t>
            </w:r>
          </w:p>
        </w:tc>
      </w:tr>
      <w:tr w:rsidR="006D1BC0" w:rsidRPr="0027057A" w14:paraId="6F2A2132" w14:textId="77777777" w:rsidTr="00762FD8">
        <w:trPr>
          <w:jc w:val="center"/>
        </w:trPr>
        <w:tc>
          <w:tcPr>
            <w:tcW w:w="983" w:type="pct"/>
            <w:shd w:val="clear" w:color="auto" w:fill="FFFFFF"/>
          </w:tcPr>
          <w:p w14:paraId="178A8204" w14:textId="680868C9" w:rsidR="006D1BC0" w:rsidRPr="00762FD8" w:rsidRDefault="006D1BC0" w:rsidP="006D1BC0">
            <w:pPr>
              <w:spacing w:after="0" w:line="240" w:lineRule="auto"/>
              <w:jc w:val="right"/>
              <w:rPr>
                <w:rFonts w:ascii="Arial" w:hAnsi="Arial" w:cs="Arial"/>
                <w:szCs w:val="24"/>
              </w:rPr>
            </w:pPr>
            <w:r w:rsidRPr="0027057A">
              <w:rPr>
                <w:rFonts w:ascii="Arial" w:hAnsi="Arial" w:cs="Arial"/>
              </w:rPr>
              <w:t>Evidence-based:</w:t>
            </w:r>
          </w:p>
        </w:tc>
        <w:tc>
          <w:tcPr>
            <w:tcW w:w="487" w:type="pct"/>
            <w:shd w:val="clear" w:color="auto" w:fill="FFFFFF"/>
          </w:tcPr>
          <w:p w14:paraId="37AA8908" w14:textId="56ECFEBB" w:rsidR="006D1BC0" w:rsidRPr="00762FD8" w:rsidRDefault="006D1BC0" w:rsidP="006D1BC0">
            <w:pPr>
              <w:spacing w:after="0" w:line="240" w:lineRule="auto"/>
              <w:rPr>
                <w:rFonts w:ascii="Arial" w:hAnsi="Arial" w:cs="Arial"/>
                <w:szCs w:val="24"/>
              </w:rPr>
            </w:pPr>
            <w:r w:rsidRPr="0027057A">
              <w:rPr>
                <w:rFonts w:ascii="Arial" w:hAnsi="Arial" w:cs="Arial"/>
              </w:rPr>
              <w:t>Yes</w:t>
            </w:r>
          </w:p>
        </w:tc>
        <w:tc>
          <w:tcPr>
            <w:tcW w:w="756" w:type="pct"/>
            <w:shd w:val="clear" w:color="auto" w:fill="FFFFFF"/>
          </w:tcPr>
          <w:p w14:paraId="2457BD84" w14:textId="438330EE" w:rsidR="006D1BC0" w:rsidRPr="00762FD8" w:rsidRDefault="006D1BC0" w:rsidP="006D1BC0">
            <w:pPr>
              <w:spacing w:after="0" w:line="240" w:lineRule="auto"/>
              <w:jc w:val="right"/>
              <w:rPr>
                <w:rFonts w:ascii="Arial" w:hAnsi="Arial" w:cs="Arial"/>
                <w:szCs w:val="24"/>
              </w:rPr>
            </w:pPr>
            <w:r w:rsidRPr="0027057A">
              <w:rPr>
                <w:rFonts w:ascii="Arial" w:hAnsi="Arial" w:cs="Arial"/>
              </w:rPr>
              <w:t>Experiential:</w:t>
            </w:r>
          </w:p>
        </w:tc>
        <w:tc>
          <w:tcPr>
            <w:tcW w:w="465" w:type="pct"/>
            <w:shd w:val="clear" w:color="auto" w:fill="FFFFFF"/>
          </w:tcPr>
          <w:p w14:paraId="550E40FA" w14:textId="5B4E04D1" w:rsidR="006D1BC0" w:rsidRPr="00762FD8" w:rsidRDefault="006D1BC0" w:rsidP="006D1BC0">
            <w:pPr>
              <w:spacing w:after="0" w:line="240" w:lineRule="auto"/>
              <w:rPr>
                <w:rFonts w:ascii="Arial" w:hAnsi="Arial" w:cs="Arial"/>
                <w:szCs w:val="24"/>
              </w:rPr>
            </w:pPr>
            <w:r>
              <w:rPr>
                <w:rFonts w:ascii="Arial" w:hAnsi="Arial" w:cs="Arial"/>
              </w:rPr>
              <w:t>Yes</w:t>
            </w:r>
          </w:p>
        </w:tc>
        <w:tc>
          <w:tcPr>
            <w:tcW w:w="678" w:type="pct"/>
            <w:shd w:val="clear" w:color="auto" w:fill="FFFFFF"/>
          </w:tcPr>
          <w:p w14:paraId="1EDF905D" w14:textId="4F70A0FE" w:rsidR="006D1BC0" w:rsidRPr="00762FD8" w:rsidRDefault="006D1BC0" w:rsidP="006D1BC0">
            <w:pPr>
              <w:spacing w:after="0" w:line="240" w:lineRule="auto"/>
              <w:jc w:val="right"/>
              <w:rPr>
                <w:rFonts w:ascii="Arial" w:hAnsi="Arial" w:cs="Arial"/>
                <w:szCs w:val="24"/>
              </w:rPr>
            </w:pPr>
            <w:r w:rsidRPr="0027057A">
              <w:rPr>
                <w:rFonts w:ascii="Arial" w:hAnsi="Arial" w:cs="Arial"/>
              </w:rPr>
              <w:t>Final Exam:</w:t>
            </w:r>
          </w:p>
        </w:tc>
        <w:tc>
          <w:tcPr>
            <w:tcW w:w="448" w:type="pct"/>
            <w:shd w:val="clear" w:color="auto" w:fill="FFFFFF"/>
          </w:tcPr>
          <w:p w14:paraId="01B1F596" w14:textId="729A3808" w:rsidR="006D1BC0" w:rsidRPr="00762FD8" w:rsidRDefault="006D1BC0" w:rsidP="006D1BC0">
            <w:pPr>
              <w:spacing w:after="0" w:line="240" w:lineRule="auto"/>
              <w:rPr>
                <w:rFonts w:ascii="Arial" w:hAnsi="Arial" w:cs="Arial"/>
                <w:szCs w:val="24"/>
              </w:rPr>
            </w:pPr>
            <w:r>
              <w:rPr>
                <w:rFonts w:ascii="Arial" w:hAnsi="Arial" w:cs="Arial"/>
              </w:rPr>
              <w:t>Yes</w:t>
            </w:r>
          </w:p>
        </w:tc>
        <w:tc>
          <w:tcPr>
            <w:tcW w:w="868" w:type="pct"/>
            <w:shd w:val="clear" w:color="auto" w:fill="FFFFFF"/>
          </w:tcPr>
          <w:p w14:paraId="23273F01" w14:textId="24CCF5E0" w:rsidR="006D1BC0" w:rsidRPr="00762FD8" w:rsidRDefault="006D1BC0" w:rsidP="006D1BC0">
            <w:pPr>
              <w:spacing w:after="0" w:line="240" w:lineRule="auto"/>
              <w:ind w:hanging="198"/>
              <w:jc w:val="right"/>
              <w:rPr>
                <w:rFonts w:ascii="Arial" w:hAnsi="Arial" w:cs="Arial"/>
                <w:szCs w:val="24"/>
              </w:rPr>
            </w:pPr>
            <w:r w:rsidRPr="0027057A">
              <w:rPr>
                <w:rFonts w:ascii="Arial" w:hAnsi="Arial" w:cs="Arial"/>
              </w:rPr>
              <w:t>Guest speaker(s):</w:t>
            </w:r>
          </w:p>
        </w:tc>
        <w:tc>
          <w:tcPr>
            <w:tcW w:w="315" w:type="pct"/>
            <w:shd w:val="clear" w:color="auto" w:fill="FFFFFF"/>
          </w:tcPr>
          <w:p w14:paraId="33A8D618" w14:textId="5CB8CD25" w:rsidR="006D1BC0" w:rsidRPr="00762FD8" w:rsidRDefault="006D1BC0" w:rsidP="006D1BC0">
            <w:pPr>
              <w:spacing w:after="0" w:line="240" w:lineRule="auto"/>
              <w:rPr>
                <w:rFonts w:ascii="Arial" w:hAnsi="Arial" w:cs="Arial"/>
                <w:szCs w:val="24"/>
              </w:rPr>
            </w:pPr>
            <w:r>
              <w:rPr>
                <w:rFonts w:ascii="Arial" w:hAnsi="Arial" w:cs="Arial"/>
              </w:rPr>
              <w:t>No</w:t>
            </w:r>
          </w:p>
        </w:tc>
      </w:tr>
    </w:tbl>
    <w:p w14:paraId="7B1C74A3" w14:textId="77777777" w:rsidR="008C622A" w:rsidRDefault="008C622A" w:rsidP="008C622A">
      <w:pPr>
        <w:spacing w:after="0"/>
        <w:rPr>
          <w:rFonts w:ascii="Arial" w:hAnsi="Arial" w:cs="Arial"/>
        </w:rPr>
      </w:pPr>
    </w:p>
    <w:p w14:paraId="0DB38CB3" w14:textId="77777777" w:rsidR="008C622A" w:rsidRPr="00D41DE6" w:rsidRDefault="008C622A" w:rsidP="008C622A">
      <w:pPr>
        <w:pStyle w:val="Style1"/>
      </w:pPr>
      <w:r>
        <w:t>Course Description</w:t>
      </w:r>
    </w:p>
    <w:p w14:paraId="3C296FB1" w14:textId="77777777" w:rsidR="008C622A" w:rsidRPr="00D41DE6" w:rsidRDefault="008C622A" w:rsidP="008C622A">
      <w:pPr>
        <w:spacing w:after="0" w:line="240" w:lineRule="auto"/>
        <w:rPr>
          <w:rFonts w:ascii="Arial" w:hAnsi="Arial" w:cs="Arial"/>
        </w:rPr>
      </w:pPr>
    </w:p>
    <w:p w14:paraId="55E447A7" w14:textId="77777777" w:rsidR="006D1BC0" w:rsidRDefault="006D1BC0" w:rsidP="006D1BC0">
      <w:pPr>
        <w:rPr>
          <w:rFonts w:ascii="Arial" w:hAnsi="Arial"/>
        </w:rPr>
      </w:pPr>
      <w:r w:rsidRPr="003C7247">
        <w:rPr>
          <w:rFonts w:ascii="Arial" w:hAnsi="Arial"/>
        </w:rPr>
        <w:t xml:space="preserve">This course provides an introduction to </w:t>
      </w:r>
      <w:r>
        <w:rPr>
          <w:rFonts w:ascii="Arial" w:hAnsi="Arial"/>
        </w:rPr>
        <w:t xml:space="preserve">one of humanity’s “killer apps” – financial intermediation.  Be it a bank, pension plan, insurance company, or investment fund, these organizations are all means by which the world’s savings are used to fund the world’s investments.  Each of the tools and organizations studied were invented to overcome the challenges of intermediation.  Studying them in historical context tells us about how cultural, geographic, and demographic constraints or endowments have affected their current design and what they might look like in the future.  </w:t>
      </w:r>
    </w:p>
    <w:p w14:paraId="319DB506" w14:textId="77777777" w:rsidR="006D1BC0" w:rsidRPr="003C7247" w:rsidRDefault="006D1BC0" w:rsidP="006D1BC0">
      <w:pPr>
        <w:rPr>
          <w:rFonts w:ascii="Arial" w:hAnsi="Arial"/>
        </w:rPr>
      </w:pPr>
      <w:r>
        <w:rPr>
          <w:rFonts w:ascii="Arial" w:hAnsi="Arial"/>
        </w:rPr>
        <w:t>In each session, a new financial “technology” will be introduced and we will spend some time considering the history its related institutions, how they have changed over time, and what their current incarnations look like today.  In doing do, students will be required to think about how design choices impact the stakeholders of various institutions, the path dependent nature of today’s structures, and how these organizations and tools can to be adapted to better suit society’s needs in the future.</w:t>
      </w:r>
    </w:p>
    <w:p w14:paraId="0A367B7A" w14:textId="77777777" w:rsidR="006D1BC0" w:rsidRPr="00FB568F" w:rsidRDefault="006D1BC0" w:rsidP="006D1BC0">
      <w:pPr>
        <w:pStyle w:val="Style1"/>
      </w:pPr>
      <w:r>
        <w:t>Learning Outcomes</w:t>
      </w:r>
    </w:p>
    <w:p w14:paraId="672BB80E" w14:textId="77777777" w:rsidR="006D1BC0" w:rsidRDefault="006D1BC0" w:rsidP="006D1BC0">
      <w:pPr>
        <w:pStyle w:val="BodyText"/>
        <w:jc w:val="left"/>
        <w:rPr>
          <w:rFonts w:ascii="Arial" w:hAnsi="Arial" w:cs="Arial"/>
        </w:rPr>
      </w:pPr>
    </w:p>
    <w:p w14:paraId="1340EEE5" w14:textId="77777777" w:rsidR="006D1BC0" w:rsidRDefault="006D1BC0" w:rsidP="006D1BC0">
      <w:pPr>
        <w:pStyle w:val="BodyText"/>
        <w:jc w:val="left"/>
        <w:rPr>
          <w:rFonts w:ascii="Arial" w:hAnsi="Arial" w:cs="Arial"/>
        </w:rPr>
      </w:pPr>
      <w:r w:rsidRPr="00132F97">
        <w:rPr>
          <w:rFonts w:ascii="Arial" w:hAnsi="Arial" w:cs="Arial"/>
        </w:rPr>
        <w:t xml:space="preserve">Upon </w:t>
      </w:r>
      <w:r>
        <w:rPr>
          <w:rFonts w:ascii="Arial" w:hAnsi="Arial" w:cs="Arial"/>
        </w:rPr>
        <w:t xml:space="preserve">successful </w:t>
      </w:r>
      <w:r w:rsidRPr="00132F97">
        <w:rPr>
          <w:rFonts w:ascii="Arial" w:hAnsi="Arial" w:cs="Arial"/>
        </w:rPr>
        <w:t>completion of this course, students will be able to complete the following</w:t>
      </w:r>
      <w:r>
        <w:rPr>
          <w:rFonts w:ascii="Arial" w:hAnsi="Arial" w:cs="Arial"/>
        </w:rPr>
        <w:t xml:space="preserve"> </w:t>
      </w:r>
      <w:r w:rsidRPr="00132F97">
        <w:rPr>
          <w:rFonts w:ascii="Arial" w:hAnsi="Arial" w:cs="Arial"/>
        </w:rPr>
        <w:t>tasks:</w:t>
      </w:r>
    </w:p>
    <w:p w14:paraId="3D1979B2" w14:textId="77777777" w:rsidR="006D1BC0" w:rsidRDefault="006D1BC0" w:rsidP="006D1BC0">
      <w:pPr>
        <w:pStyle w:val="BodyText"/>
        <w:jc w:val="left"/>
        <w:rPr>
          <w:rFonts w:ascii="Arial" w:hAnsi="Arial" w:cs="Arial"/>
        </w:rPr>
      </w:pPr>
    </w:p>
    <w:p w14:paraId="155E657A" w14:textId="77777777" w:rsidR="006D1BC0" w:rsidRDefault="006D1BC0" w:rsidP="006D1BC0">
      <w:pPr>
        <w:numPr>
          <w:ilvl w:val="0"/>
          <w:numId w:val="1"/>
        </w:numPr>
        <w:spacing w:after="0" w:line="276" w:lineRule="auto"/>
        <w:rPr>
          <w:rFonts w:ascii="Arial" w:hAnsi="Arial" w:cs="Arial"/>
          <w:sz w:val="24"/>
          <w:szCs w:val="24"/>
        </w:rPr>
      </w:pPr>
      <w:r>
        <w:rPr>
          <w:rFonts w:ascii="Arial" w:hAnsi="Arial" w:cs="Arial"/>
          <w:sz w:val="24"/>
          <w:szCs w:val="24"/>
        </w:rPr>
        <w:t>Explain the core functions of financial institutions in plain language</w:t>
      </w:r>
    </w:p>
    <w:p w14:paraId="6167BB8E" w14:textId="77777777" w:rsidR="006D1BC0" w:rsidRDefault="006D1BC0" w:rsidP="006D1BC0">
      <w:pPr>
        <w:numPr>
          <w:ilvl w:val="0"/>
          <w:numId w:val="1"/>
        </w:numPr>
        <w:spacing w:after="0" w:line="276" w:lineRule="auto"/>
        <w:rPr>
          <w:rFonts w:ascii="Arial" w:hAnsi="Arial" w:cs="Arial"/>
          <w:sz w:val="24"/>
          <w:szCs w:val="24"/>
        </w:rPr>
      </w:pPr>
      <w:r>
        <w:rPr>
          <w:rFonts w:ascii="Arial" w:hAnsi="Arial" w:cs="Arial"/>
          <w:sz w:val="24"/>
          <w:szCs w:val="24"/>
        </w:rPr>
        <w:t>Understand variations in institutional design with reference to local challenges and cultures</w:t>
      </w:r>
    </w:p>
    <w:p w14:paraId="6393264D" w14:textId="77777777" w:rsidR="006D1BC0" w:rsidRDefault="006D1BC0" w:rsidP="006D1BC0">
      <w:pPr>
        <w:numPr>
          <w:ilvl w:val="0"/>
          <w:numId w:val="1"/>
        </w:numPr>
        <w:spacing w:after="0" w:line="276" w:lineRule="auto"/>
        <w:rPr>
          <w:rFonts w:ascii="Arial" w:hAnsi="Arial" w:cs="Arial"/>
          <w:sz w:val="24"/>
          <w:szCs w:val="24"/>
        </w:rPr>
      </w:pPr>
      <w:r>
        <w:rPr>
          <w:rFonts w:ascii="Arial" w:hAnsi="Arial" w:cs="Arial"/>
          <w:sz w:val="24"/>
          <w:szCs w:val="24"/>
        </w:rPr>
        <w:t>Identify the key roles and processes required to complete those functions</w:t>
      </w:r>
    </w:p>
    <w:p w14:paraId="1F315182" w14:textId="77777777" w:rsidR="006D1BC0" w:rsidRDefault="006D1BC0" w:rsidP="006D1BC0">
      <w:pPr>
        <w:numPr>
          <w:ilvl w:val="0"/>
          <w:numId w:val="1"/>
        </w:numPr>
        <w:spacing w:after="0" w:line="276" w:lineRule="auto"/>
        <w:rPr>
          <w:rFonts w:ascii="Arial" w:hAnsi="Arial" w:cs="Arial"/>
          <w:sz w:val="24"/>
          <w:szCs w:val="24"/>
        </w:rPr>
      </w:pPr>
      <w:r>
        <w:rPr>
          <w:rFonts w:ascii="Arial" w:hAnsi="Arial" w:cs="Arial"/>
          <w:sz w:val="24"/>
          <w:szCs w:val="24"/>
        </w:rPr>
        <w:t>Analyze the priorities and concerns of various stakeholder groups</w:t>
      </w:r>
    </w:p>
    <w:p w14:paraId="4210B388" w14:textId="77777777" w:rsidR="006D1BC0" w:rsidRDefault="006D1BC0" w:rsidP="006D1BC0">
      <w:pPr>
        <w:numPr>
          <w:ilvl w:val="0"/>
          <w:numId w:val="1"/>
        </w:numPr>
        <w:spacing w:after="0" w:line="276" w:lineRule="auto"/>
        <w:rPr>
          <w:rFonts w:ascii="Arial" w:hAnsi="Arial" w:cs="Arial"/>
          <w:sz w:val="24"/>
          <w:szCs w:val="24"/>
        </w:rPr>
      </w:pPr>
      <w:r>
        <w:rPr>
          <w:rFonts w:ascii="Arial" w:hAnsi="Arial" w:cs="Arial"/>
          <w:sz w:val="24"/>
          <w:szCs w:val="24"/>
        </w:rPr>
        <w:t>Evaluate how existing institutions and their processes meet the needs of their stakeholders</w:t>
      </w:r>
    </w:p>
    <w:p w14:paraId="15C430F1" w14:textId="77777777" w:rsidR="006D1BC0" w:rsidRDefault="006D1BC0" w:rsidP="006D1BC0">
      <w:pPr>
        <w:numPr>
          <w:ilvl w:val="0"/>
          <w:numId w:val="1"/>
        </w:numPr>
        <w:spacing w:after="0" w:line="276" w:lineRule="auto"/>
        <w:rPr>
          <w:rFonts w:ascii="Arial" w:hAnsi="Arial" w:cs="Arial"/>
          <w:sz w:val="24"/>
          <w:szCs w:val="24"/>
        </w:rPr>
      </w:pPr>
      <w:r>
        <w:rPr>
          <w:rFonts w:ascii="Arial" w:hAnsi="Arial" w:cs="Arial"/>
          <w:sz w:val="24"/>
          <w:szCs w:val="24"/>
        </w:rPr>
        <w:t>Synthesize best practices to improve processes and organizational design at financial firms</w:t>
      </w:r>
    </w:p>
    <w:p w14:paraId="22963A6F" w14:textId="77777777" w:rsidR="006D1BC0" w:rsidRDefault="006D1BC0" w:rsidP="006D1BC0">
      <w:pPr>
        <w:spacing w:after="0" w:line="276" w:lineRule="auto"/>
        <w:rPr>
          <w:rFonts w:ascii="Arial" w:hAnsi="Arial" w:cs="Arial"/>
          <w:sz w:val="24"/>
          <w:szCs w:val="24"/>
        </w:rPr>
      </w:pPr>
    </w:p>
    <w:p w14:paraId="784C8698" w14:textId="77777777" w:rsidR="006D1BC0" w:rsidRPr="00D41DE6" w:rsidRDefault="006D1BC0" w:rsidP="006D1BC0">
      <w:pPr>
        <w:pStyle w:val="Style1"/>
      </w:pPr>
      <w:r>
        <w:t>Course Materials and Readings</w:t>
      </w:r>
    </w:p>
    <w:p w14:paraId="2AD45FFE" w14:textId="77777777" w:rsidR="006D1BC0" w:rsidRDefault="006D1BC0" w:rsidP="006D1BC0">
      <w:pPr>
        <w:spacing w:after="0" w:line="240" w:lineRule="auto"/>
        <w:rPr>
          <w:rFonts w:ascii="Arial" w:hAnsi="Arial" w:cs="Arial"/>
        </w:rPr>
      </w:pPr>
    </w:p>
    <w:p w14:paraId="307366F8" w14:textId="77777777" w:rsidR="006D1BC0" w:rsidRDefault="006D1BC0" w:rsidP="006D1BC0">
      <w:pPr>
        <w:spacing w:after="0" w:line="240" w:lineRule="auto"/>
        <w:rPr>
          <w:rFonts w:ascii="Arial" w:hAnsi="Arial" w:cs="Arial"/>
          <w:b/>
          <w:bCs/>
        </w:rPr>
      </w:pPr>
      <w:r w:rsidRPr="00DD2476">
        <w:rPr>
          <w:rFonts w:ascii="Arial" w:hAnsi="Arial" w:cs="Arial"/>
          <w:b/>
          <w:bCs/>
        </w:rPr>
        <w:t>REQUIRED:</w:t>
      </w:r>
      <w:r>
        <w:rPr>
          <w:rFonts w:ascii="Arial" w:hAnsi="Arial" w:cs="Arial"/>
          <w:b/>
          <w:bCs/>
        </w:rPr>
        <w:t xml:space="preserve">  </w:t>
      </w:r>
    </w:p>
    <w:p w14:paraId="56420DD0" w14:textId="77777777" w:rsidR="006D1BC0" w:rsidRPr="009D1541" w:rsidRDefault="006D1BC0" w:rsidP="006D1BC0">
      <w:pPr>
        <w:pStyle w:val="ListParagraph"/>
        <w:numPr>
          <w:ilvl w:val="0"/>
          <w:numId w:val="23"/>
        </w:numPr>
        <w:spacing w:after="0" w:line="240" w:lineRule="auto"/>
        <w:rPr>
          <w:rFonts w:ascii="Arial" w:hAnsi="Arial" w:cs="Arial"/>
        </w:rPr>
      </w:pPr>
      <w:r w:rsidRPr="009D1541">
        <w:rPr>
          <w:rFonts w:ascii="Arial" w:hAnsi="Arial"/>
          <w:sz w:val="20"/>
        </w:rPr>
        <w:t>“</w:t>
      </w:r>
      <w:r w:rsidRPr="009D1541">
        <w:rPr>
          <w:rFonts w:ascii="Arial" w:hAnsi="Arial" w:cs="Arial"/>
          <w:color w:val="111111"/>
        </w:rPr>
        <w:t xml:space="preserve">Money Changes Everything: How Finance Made Civilization </w:t>
      </w:r>
      <w:r w:rsidRPr="009D1541">
        <w:rPr>
          <w:rFonts w:ascii="Arial" w:hAnsi="Arial" w:cs="Arial"/>
        </w:rPr>
        <w:t>Possible”</w:t>
      </w:r>
      <w:r w:rsidRPr="009D1541">
        <w:rPr>
          <w:rFonts w:ascii="Arial" w:hAnsi="Arial"/>
        </w:rPr>
        <w:t xml:space="preserve">, William </w:t>
      </w:r>
      <w:proofErr w:type="spellStart"/>
      <w:r w:rsidRPr="009D1541">
        <w:rPr>
          <w:rFonts w:ascii="Arial" w:hAnsi="Arial"/>
        </w:rPr>
        <w:t>Goetzmann</w:t>
      </w:r>
      <w:proofErr w:type="spellEnd"/>
      <w:r w:rsidRPr="009D1541">
        <w:rPr>
          <w:rFonts w:ascii="Arial" w:hAnsi="Arial"/>
        </w:rPr>
        <w:t xml:space="preserve"> (2016) Princeton University Press.  ISBN: 978-0691143781</w:t>
      </w:r>
    </w:p>
    <w:p w14:paraId="3F18B69C" w14:textId="70D05902" w:rsidR="006D1BC0" w:rsidRDefault="006D1BC0" w:rsidP="006D1BC0">
      <w:pPr>
        <w:pStyle w:val="ListParagraph"/>
        <w:numPr>
          <w:ilvl w:val="0"/>
          <w:numId w:val="23"/>
        </w:numPr>
        <w:spacing w:after="0" w:line="240" w:lineRule="auto"/>
        <w:rPr>
          <w:rFonts w:ascii="Arial" w:hAnsi="Arial" w:cs="Arial"/>
        </w:rPr>
      </w:pPr>
      <w:r w:rsidRPr="00DD2476">
        <w:rPr>
          <w:rFonts w:ascii="Arial" w:hAnsi="Arial" w:cs="Arial"/>
        </w:rPr>
        <w:t>HBS Case pack</w:t>
      </w:r>
      <w:r w:rsidR="00EC236F">
        <w:rPr>
          <w:rFonts w:ascii="Arial" w:hAnsi="Arial" w:cs="Arial"/>
        </w:rPr>
        <w:t xml:space="preserve">:  </w:t>
      </w:r>
      <w:r w:rsidR="00EC236F" w:rsidRPr="00EC236F">
        <w:rPr>
          <w:rFonts w:ascii="Arial" w:hAnsi="Arial" w:cs="Arial"/>
        </w:rPr>
        <w:t>https://hbsp.harvard.edu/import/780281</w:t>
      </w:r>
    </w:p>
    <w:p w14:paraId="03F38310" w14:textId="77777777" w:rsidR="00EC236F" w:rsidRPr="00DD2476" w:rsidRDefault="00EC236F" w:rsidP="00EC236F">
      <w:pPr>
        <w:pStyle w:val="ListParagraph"/>
        <w:spacing w:after="0" w:line="240" w:lineRule="auto"/>
        <w:rPr>
          <w:rFonts w:ascii="Arial" w:hAnsi="Arial" w:cs="Arial"/>
        </w:rPr>
      </w:pPr>
    </w:p>
    <w:p w14:paraId="48A03AB5" w14:textId="77777777" w:rsidR="008C622A" w:rsidRPr="00D41DE6" w:rsidRDefault="008C622A" w:rsidP="008C622A">
      <w:pPr>
        <w:pStyle w:val="Style1"/>
      </w:pPr>
      <w:r>
        <w:t>Evaluation</w:t>
      </w:r>
    </w:p>
    <w:p w14:paraId="45F90693" w14:textId="77777777" w:rsidR="008C622A" w:rsidRPr="00D41DE6" w:rsidRDefault="008C622A" w:rsidP="008C622A">
      <w:pPr>
        <w:spacing w:after="0" w:line="240" w:lineRule="auto"/>
        <w:rPr>
          <w:rFonts w:ascii="Arial" w:hAnsi="Arial" w:cs="Arial"/>
        </w:rPr>
      </w:pPr>
    </w:p>
    <w:p w14:paraId="2EEC75FD" w14:textId="1A106D0C" w:rsidR="00440AF7" w:rsidRPr="009148BA" w:rsidRDefault="00440AF7" w:rsidP="00440AF7">
      <w:pPr>
        <w:pStyle w:val="BodyText"/>
        <w:rPr>
          <w:rFonts w:ascii="Arial" w:hAnsi="Arial" w:cs="Arial"/>
        </w:rPr>
      </w:pPr>
      <w:r w:rsidRPr="009148BA">
        <w:rPr>
          <w:rFonts w:ascii="Arial" w:hAnsi="Arial" w:cs="Arial"/>
        </w:rPr>
        <w:t xml:space="preserve">Learning in this course results primarily from the lectures, related readings, and researching your </w:t>
      </w:r>
      <w:r w:rsidR="006D1BC0">
        <w:rPr>
          <w:rFonts w:ascii="Arial" w:hAnsi="Arial" w:cs="Arial"/>
        </w:rPr>
        <w:t>cases, writing assignments,</w:t>
      </w:r>
      <w:r w:rsidRPr="009148BA">
        <w:rPr>
          <w:rFonts w:ascii="Arial" w:hAnsi="Arial" w:cs="Arial"/>
        </w:rPr>
        <w:t xml:space="preserve"> and </w:t>
      </w:r>
      <w:r w:rsidR="00CF5409">
        <w:rPr>
          <w:rFonts w:ascii="Arial" w:hAnsi="Arial" w:cs="Arial"/>
        </w:rPr>
        <w:t>group project</w:t>
      </w:r>
      <w:r w:rsidRPr="009148BA">
        <w:rPr>
          <w:rFonts w:ascii="Arial" w:hAnsi="Arial" w:cs="Arial"/>
        </w:rPr>
        <w:t xml:space="preserve">. </w:t>
      </w:r>
      <w:r w:rsidRPr="009148BA">
        <w:rPr>
          <w:rFonts w:ascii="Arial" w:hAnsi="Arial" w:cs="Arial"/>
          <w:i/>
        </w:rPr>
        <w:t>Your final grade will be calculated as follows:</w:t>
      </w:r>
    </w:p>
    <w:p w14:paraId="65E8288B" w14:textId="77777777" w:rsidR="008C622A" w:rsidRDefault="008C622A" w:rsidP="008C622A">
      <w:pPr>
        <w:pStyle w:val="BodyText"/>
        <w:rPr>
          <w:rFonts w:ascii="Arial" w:hAnsi="Arial" w:cs="Arial"/>
        </w:rPr>
      </w:pPr>
    </w:p>
    <w:p w14:paraId="4F5C3C19" w14:textId="77777777" w:rsidR="006D1BC0" w:rsidRPr="00BC6CA8" w:rsidRDefault="006D1BC0" w:rsidP="006D1BC0">
      <w:pPr>
        <w:pStyle w:val="BodyText"/>
        <w:jc w:val="center"/>
        <w:rPr>
          <w:rFonts w:ascii="Arial" w:hAnsi="Arial" w:cs="Arial"/>
          <w:b/>
          <w:sz w:val="28"/>
          <w:u w:val="single"/>
        </w:rPr>
      </w:pPr>
      <w:r w:rsidRPr="00BC6CA8">
        <w:rPr>
          <w:rFonts w:ascii="Arial" w:hAnsi="Arial" w:cs="Arial"/>
          <w:b/>
          <w:sz w:val="28"/>
          <w:u w:val="single"/>
        </w:rPr>
        <w:t>Components and Weights</w:t>
      </w:r>
    </w:p>
    <w:p w14:paraId="207A5F4E" w14:textId="77777777" w:rsidR="006D1BC0" w:rsidRPr="0024490D" w:rsidRDefault="006D1BC0" w:rsidP="006D1BC0">
      <w:pPr>
        <w:spacing w:after="0" w:line="240" w:lineRule="auto"/>
        <w:rPr>
          <w:rFonts w:ascii="Arial" w:hAnsi="Arial" w:cs="Arial"/>
        </w:rPr>
      </w:pPr>
    </w:p>
    <w:tbl>
      <w:tblPr>
        <w:tblStyle w:val="TableGrid"/>
        <w:tblW w:w="5214" w:type="pct"/>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4191"/>
        <w:gridCol w:w="5440"/>
        <w:gridCol w:w="1631"/>
      </w:tblGrid>
      <w:tr w:rsidR="006D1BC0" w14:paraId="253C8EB2" w14:textId="77777777" w:rsidTr="00097082">
        <w:trPr>
          <w:jc w:val="center"/>
        </w:trPr>
        <w:tc>
          <w:tcPr>
            <w:tcW w:w="1861" w:type="pct"/>
          </w:tcPr>
          <w:p w14:paraId="11A6ED1C" w14:textId="77777777" w:rsidR="006D1BC0" w:rsidRPr="00636150" w:rsidRDefault="006D1BC0" w:rsidP="00097082">
            <w:pPr>
              <w:spacing w:before="240"/>
              <w:jc w:val="right"/>
              <w:rPr>
                <w:rFonts w:ascii="Arial" w:hAnsi="Arial" w:cs="Arial"/>
                <w:b/>
                <w:sz w:val="24"/>
              </w:rPr>
            </w:pPr>
            <w:r>
              <w:rPr>
                <w:rFonts w:ascii="Arial" w:hAnsi="Arial" w:cs="Arial"/>
                <w:b/>
                <w:sz w:val="24"/>
              </w:rPr>
              <w:t>Case Studies</w:t>
            </w:r>
          </w:p>
        </w:tc>
        <w:tc>
          <w:tcPr>
            <w:tcW w:w="2415" w:type="pct"/>
          </w:tcPr>
          <w:p w14:paraId="4BE3005F" w14:textId="77777777" w:rsidR="006D1BC0" w:rsidRPr="002921B1" w:rsidRDefault="006D1BC0" w:rsidP="00097082">
            <w:pPr>
              <w:spacing w:before="240"/>
              <w:rPr>
                <w:rFonts w:ascii="Arial" w:hAnsi="Arial" w:cs="Arial"/>
                <w:sz w:val="24"/>
              </w:rPr>
            </w:pPr>
            <w:r>
              <w:rPr>
                <w:rFonts w:ascii="Arial" w:hAnsi="Arial" w:cs="Arial"/>
                <w:sz w:val="24"/>
              </w:rPr>
              <w:t>3 cases (group or solo), 10% each</w:t>
            </w:r>
          </w:p>
        </w:tc>
        <w:tc>
          <w:tcPr>
            <w:tcW w:w="724" w:type="pct"/>
          </w:tcPr>
          <w:p w14:paraId="5E921500" w14:textId="77777777" w:rsidR="006D1BC0" w:rsidRPr="00636150" w:rsidRDefault="006D1BC0" w:rsidP="00097082">
            <w:pPr>
              <w:spacing w:before="240"/>
              <w:rPr>
                <w:rFonts w:ascii="Arial" w:hAnsi="Arial" w:cs="Arial"/>
                <w:sz w:val="24"/>
              </w:rPr>
            </w:pPr>
            <w:r>
              <w:rPr>
                <w:rFonts w:ascii="Arial" w:hAnsi="Arial" w:cs="Arial"/>
                <w:sz w:val="24"/>
              </w:rPr>
              <w:t>30%</w:t>
            </w:r>
          </w:p>
        </w:tc>
      </w:tr>
      <w:tr w:rsidR="006D1BC0" w14:paraId="27000A03" w14:textId="77777777" w:rsidTr="00097082">
        <w:trPr>
          <w:jc w:val="center"/>
        </w:trPr>
        <w:tc>
          <w:tcPr>
            <w:tcW w:w="1861" w:type="pct"/>
          </w:tcPr>
          <w:p w14:paraId="1F3B1982" w14:textId="77777777" w:rsidR="006D1BC0" w:rsidRPr="00636150" w:rsidRDefault="006D1BC0" w:rsidP="00097082">
            <w:pPr>
              <w:spacing w:before="240"/>
              <w:jc w:val="right"/>
              <w:rPr>
                <w:rFonts w:ascii="Arial" w:hAnsi="Arial" w:cs="Arial"/>
                <w:b/>
                <w:sz w:val="24"/>
              </w:rPr>
            </w:pPr>
            <w:r>
              <w:rPr>
                <w:rFonts w:ascii="Arial" w:hAnsi="Arial" w:cs="Arial"/>
                <w:b/>
                <w:sz w:val="24"/>
              </w:rPr>
              <w:t>Group Project</w:t>
            </w:r>
          </w:p>
        </w:tc>
        <w:tc>
          <w:tcPr>
            <w:tcW w:w="2415" w:type="pct"/>
          </w:tcPr>
          <w:p w14:paraId="394E57B5" w14:textId="77777777" w:rsidR="006D1BC0" w:rsidRPr="00636150" w:rsidRDefault="006D1BC0" w:rsidP="00097082">
            <w:pPr>
              <w:spacing w:before="240"/>
              <w:rPr>
                <w:rFonts w:ascii="Arial" w:hAnsi="Arial" w:cs="Arial"/>
                <w:sz w:val="24"/>
              </w:rPr>
            </w:pPr>
          </w:p>
        </w:tc>
        <w:tc>
          <w:tcPr>
            <w:tcW w:w="724" w:type="pct"/>
          </w:tcPr>
          <w:p w14:paraId="0D879F89" w14:textId="77777777" w:rsidR="006D1BC0" w:rsidRPr="00636150" w:rsidRDefault="006D1BC0" w:rsidP="00097082">
            <w:pPr>
              <w:spacing w:before="240"/>
              <w:rPr>
                <w:rFonts w:ascii="Arial" w:hAnsi="Arial" w:cs="Arial"/>
                <w:sz w:val="24"/>
              </w:rPr>
            </w:pPr>
            <w:r>
              <w:rPr>
                <w:rFonts w:ascii="Arial" w:hAnsi="Arial" w:cs="Arial"/>
                <w:sz w:val="24"/>
              </w:rPr>
              <w:t>30%</w:t>
            </w:r>
          </w:p>
        </w:tc>
      </w:tr>
      <w:tr w:rsidR="006D1BC0" w14:paraId="56A24E10" w14:textId="77777777" w:rsidTr="00097082">
        <w:trPr>
          <w:jc w:val="center"/>
        </w:trPr>
        <w:tc>
          <w:tcPr>
            <w:tcW w:w="1861" w:type="pct"/>
          </w:tcPr>
          <w:p w14:paraId="478CD441" w14:textId="77777777" w:rsidR="006D1BC0" w:rsidRPr="00636150" w:rsidRDefault="006D1BC0" w:rsidP="00097082">
            <w:pPr>
              <w:spacing w:before="240"/>
              <w:jc w:val="right"/>
              <w:rPr>
                <w:rFonts w:ascii="Arial" w:hAnsi="Arial" w:cs="Arial"/>
                <w:b/>
                <w:sz w:val="24"/>
              </w:rPr>
            </w:pPr>
            <w:r>
              <w:rPr>
                <w:rFonts w:ascii="Arial" w:hAnsi="Arial" w:cs="Arial"/>
                <w:b/>
                <w:sz w:val="24"/>
              </w:rPr>
              <w:t>Writing Assignments</w:t>
            </w:r>
          </w:p>
        </w:tc>
        <w:tc>
          <w:tcPr>
            <w:tcW w:w="2415" w:type="pct"/>
          </w:tcPr>
          <w:p w14:paraId="00B7A02D" w14:textId="77777777" w:rsidR="006D1BC0" w:rsidRPr="00636150" w:rsidRDefault="006D1BC0" w:rsidP="00097082">
            <w:pPr>
              <w:spacing w:before="240"/>
              <w:rPr>
                <w:rFonts w:ascii="Arial" w:hAnsi="Arial" w:cs="Arial"/>
                <w:sz w:val="24"/>
              </w:rPr>
            </w:pPr>
            <w:r>
              <w:rPr>
                <w:rFonts w:ascii="Arial" w:hAnsi="Arial" w:cs="Arial"/>
                <w:sz w:val="24"/>
              </w:rPr>
              <w:t>2 individual “take home” exams, 20% each</w:t>
            </w:r>
          </w:p>
        </w:tc>
        <w:tc>
          <w:tcPr>
            <w:tcW w:w="724" w:type="pct"/>
          </w:tcPr>
          <w:p w14:paraId="1F889AAB" w14:textId="77777777" w:rsidR="006D1BC0" w:rsidRPr="00636150" w:rsidRDefault="006D1BC0" w:rsidP="00097082">
            <w:pPr>
              <w:spacing w:before="240"/>
              <w:rPr>
                <w:rFonts w:ascii="Arial" w:hAnsi="Arial" w:cs="Arial"/>
                <w:sz w:val="24"/>
              </w:rPr>
            </w:pPr>
            <w:r>
              <w:rPr>
                <w:rFonts w:ascii="Arial" w:hAnsi="Arial" w:cs="Arial"/>
                <w:sz w:val="24"/>
              </w:rPr>
              <w:t>40%</w:t>
            </w:r>
          </w:p>
        </w:tc>
      </w:tr>
      <w:tr w:rsidR="006D1BC0" w:rsidRPr="007733F7" w14:paraId="5AD40C60" w14:textId="77777777" w:rsidTr="00097082">
        <w:trPr>
          <w:jc w:val="center"/>
        </w:trPr>
        <w:tc>
          <w:tcPr>
            <w:tcW w:w="1861" w:type="pct"/>
            <w:tcBorders>
              <w:top w:val="double" w:sz="4" w:space="0" w:color="auto"/>
              <w:bottom w:val="double" w:sz="4" w:space="0" w:color="auto"/>
            </w:tcBorders>
          </w:tcPr>
          <w:p w14:paraId="2B99AD25" w14:textId="77777777" w:rsidR="006D1BC0" w:rsidRPr="00636150" w:rsidRDefault="006D1BC0" w:rsidP="00097082">
            <w:pPr>
              <w:spacing w:before="240"/>
              <w:jc w:val="right"/>
              <w:rPr>
                <w:rFonts w:ascii="Arial" w:hAnsi="Arial" w:cs="Arial"/>
                <w:b/>
                <w:sz w:val="24"/>
              </w:rPr>
            </w:pPr>
            <w:r w:rsidRPr="00636150">
              <w:rPr>
                <w:rFonts w:ascii="Arial" w:hAnsi="Arial" w:cs="Arial"/>
                <w:b/>
                <w:sz w:val="24"/>
              </w:rPr>
              <w:t>Total</w:t>
            </w:r>
          </w:p>
        </w:tc>
        <w:tc>
          <w:tcPr>
            <w:tcW w:w="2415" w:type="pct"/>
            <w:tcBorders>
              <w:top w:val="double" w:sz="4" w:space="0" w:color="auto"/>
              <w:bottom w:val="double" w:sz="4" w:space="0" w:color="auto"/>
            </w:tcBorders>
          </w:tcPr>
          <w:p w14:paraId="419420D5" w14:textId="77777777" w:rsidR="006D1BC0" w:rsidRPr="00636150" w:rsidRDefault="006D1BC0" w:rsidP="00097082">
            <w:pPr>
              <w:spacing w:before="240"/>
              <w:rPr>
                <w:rFonts w:ascii="Arial" w:hAnsi="Arial" w:cs="Arial"/>
                <w:b/>
                <w:sz w:val="24"/>
              </w:rPr>
            </w:pPr>
          </w:p>
        </w:tc>
        <w:tc>
          <w:tcPr>
            <w:tcW w:w="724" w:type="pct"/>
            <w:tcBorders>
              <w:top w:val="double" w:sz="4" w:space="0" w:color="auto"/>
              <w:bottom w:val="double" w:sz="4" w:space="0" w:color="auto"/>
            </w:tcBorders>
          </w:tcPr>
          <w:p w14:paraId="6ABC74A7" w14:textId="77777777" w:rsidR="006D1BC0" w:rsidRPr="00636150" w:rsidRDefault="006D1BC0" w:rsidP="00097082">
            <w:pPr>
              <w:spacing w:before="240"/>
              <w:rPr>
                <w:rFonts w:ascii="Arial" w:hAnsi="Arial" w:cs="Arial"/>
                <w:b/>
                <w:sz w:val="24"/>
              </w:rPr>
            </w:pPr>
            <w:r w:rsidRPr="00636150">
              <w:rPr>
                <w:rFonts w:ascii="Arial" w:hAnsi="Arial" w:cs="Arial"/>
                <w:b/>
                <w:sz w:val="24"/>
              </w:rPr>
              <w:t>100%</w:t>
            </w:r>
          </w:p>
        </w:tc>
      </w:tr>
    </w:tbl>
    <w:p w14:paraId="13EB9352" w14:textId="77777777" w:rsidR="006D1BC0" w:rsidRPr="007733F7" w:rsidRDefault="006D1BC0" w:rsidP="006D1BC0">
      <w:pPr>
        <w:spacing w:after="0" w:line="240" w:lineRule="auto"/>
        <w:jc w:val="both"/>
        <w:rPr>
          <w:rFonts w:ascii="Arial" w:hAnsi="Arial" w:cs="Arial"/>
          <w:b/>
          <w:sz w:val="24"/>
          <w:szCs w:val="24"/>
        </w:rPr>
      </w:pPr>
    </w:p>
    <w:p w14:paraId="4F7F7F77" w14:textId="77777777" w:rsidR="006D1BC0" w:rsidRDefault="006D1BC0" w:rsidP="006D1BC0">
      <w:pPr>
        <w:spacing w:after="0" w:line="240" w:lineRule="auto"/>
        <w:jc w:val="both"/>
        <w:rPr>
          <w:rFonts w:ascii="Arial" w:hAnsi="Arial" w:cs="Arial"/>
          <w:sz w:val="24"/>
          <w:szCs w:val="24"/>
        </w:rPr>
      </w:pPr>
    </w:p>
    <w:p w14:paraId="6949C76D" w14:textId="77777777" w:rsidR="006D1BC0" w:rsidRDefault="006D1BC0" w:rsidP="006D1BC0">
      <w:pPr>
        <w:pStyle w:val="BodyText"/>
        <w:rPr>
          <w:rFonts w:ascii="Arial" w:hAnsi="Arial" w:cs="Arial"/>
          <w:b/>
          <w:bCs/>
        </w:rPr>
      </w:pPr>
      <w:r>
        <w:rPr>
          <w:rFonts w:ascii="Arial" w:hAnsi="Arial" w:cs="Arial"/>
          <w:b/>
          <w:bCs/>
        </w:rPr>
        <w:t>Asynchronous Content</w:t>
      </w:r>
    </w:p>
    <w:p w14:paraId="4E74A093" w14:textId="77777777" w:rsidR="006D1BC0" w:rsidRPr="00374A14" w:rsidRDefault="006D1BC0" w:rsidP="006D1BC0">
      <w:pPr>
        <w:pStyle w:val="BodyText"/>
        <w:rPr>
          <w:rFonts w:ascii="Arial" w:hAnsi="Arial" w:cs="Arial"/>
          <w:i/>
          <w:iCs/>
        </w:rPr>
      </w:pPr>
      <w:r>
        <w:rPr>
          <w:rFonts w:ascii="Arial" w:hAnsi="Arial" w:cs="Arial"/>
          <w:i/>
          <w:iCs/>
        </w:rPr>
        <w:t>To facilitate on-line learning, weekly video series are recorded to support this course.  You should watch each week’s videos on your own time BEFORE our synchronous sessions, read the class notes in detail, and explore some of the related links provided in the slides.</w:t>
      </w:r>
    </w:p>
    <w:p w14:paraId="6B410A88" w14:textId="77777777" w:rsidR="006D1BC0" w:rsidRPr="003F4E10" w:rsidRDefault="006D1BC0" w:rsidP="006D1BC0">
      <w:pPr>
        <w:pStyle w:val="BodyText"/>
        <w:rPr>
          <w:rFonts w:ascii="Arial" w:hAnsi="Arial" w:cs="Arial"/>
          <w:b/>
          <w:bCs/>
        </w:rPr>
      </w:pPr>
    </w:p>
    <w:p w14:paraId="393DE929" w14:textId="77777777" w:rsidR="006D1BC0" w:rsidRDefault="006D1BC0" w:rsidP="006D1BC0">
      <w:pPr>
        <w:pStyle w:val="BodyText"/>
        <w:rPr>
          <w:rFonts w:ascii="Arial" w:hAnsi="Arial" w:cs="Arial"/>
          <w:b/>
          <w:bCs/>
        </w:rPr>
      </w:pPr>
      <w:r>
        <w:rPr>
          <w:rFonts w:ascii="Arial" w:hAnsi="Arial" w:cs="Arial"/>
          <w:b/>
          <w:bCs/>
        </w:rPr>
        <w:t>Synchronous Content</w:t>
      </w:r>
    </w:p>
    <w:p w14:paraId="17269726" w14:textId="77777777" w:rsidR="006D1BC0" w:rsidRDefault="006D1BC0" w:rsidP="006D1BC0">
      <w:pPr>
        <w:pStyle w:val="BodyText"/>
        <w:rPr>
          <w:rFonts w:ascii="Arial" w:hAnsi="Arial" w:cs="Arial"/>
        </w:rPr>
      </w:pPr>
      <w:r>
        <w:rPr>
          <w:rFonts w:ascii="Arial" w:hAnsi="Arial" w:cs="Arial"/>
          <w:i/>
          <w:iCs/>
        </w:rPr>
        <w:t>Each week the class will “meet” using Zoom for (roughly) an hour to discuss philosophical issues, innovations, and case studies related to that week’s primary topic.  On weeks when a case study report is due, we will discuss it in detail.  O</w:t>
      </w:r>
      <w:r w:rsidRPr="00374A14">
        <w:rPr>
          <w:rFonts w:ascii="Arial" w:hAnsi="Arial" w:cs="Arial"/>
          <w:i/>
          <w:iCs/>
        </w:rPr>
        <w:t xml:space="preserve">ffice hours will </w:t>
      </w:r>
      <w:r>
        <w:rPr>
          <w:rFonts w:ascii="Arial" w:hAnsi="Arial" w:cs="Arial"/>
          <w:i/>
          <w:iCs/>
        </w:rPr>
        <w:t xml:space="preserve">also </w:t>
      </w:r>
      <w:r w:rsidRPr="00374A14">
        <w:rPr>
          <w:rFonts w:ascii="Arial" w:hAnsi="Arial" w:cs="Arial"/>
          <w:i/>
          <w:iCs/>
        </w:rPr>
        <w:t>be held over Zoom</w:t>
      </w:r>
      <w:r>
        <w:rPr>
          <w:rFonts w:ascii="Arial" w:hAnsi="Arial" w:cs="Arial"/>
          <w:i/>
          <w:iCs/>
        </w:rPr>
        <w:t xml:space="preserve"> at a time TBA</w:t>
      </w:r>
    </w:p>
    <w:p w14:paraId="19C2918B" w14:textId="77777777" w:rsidR="008C622A" w:rsidRPr="007733F7" w:rsidRDefault="008C622A" w:rsidP="008C622A">
      <w:pPr>
        <w:spacing w:after="0" w:line="240" w:lineRule="auto"/>
        <w:rPr>
          <w:rFonts w:ascii="Arial" w:hAnsi="Arial" w:cs="Arial"/>
          <w:b/>
        </w:rPr>
      </w:pPr>
    </w:p>
    <w:p w14:paraId="00600D6F" w14:textId="77777777"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t>Grade Conversion</w:t>
      </w:r>
    </w:p>
    <w:p w14:paraId="7FEFFA7E" w14:textId="77777777" w:rsidR="008C622A" w:rsidRPr="00E150C8" w:rsidRDefault="008C622A" w:rsidP="008C622A">
      <w:pPr>
        <w:spacing w:after="0" w:line="240" w:lineRule="auto"/>
        <w:rPr>
          <w:rFonts w:ascii="Arial" w:hAnsi="Arial" w:cs="Arial"/>
          <w:sz w:val="24"/>
          <w:szCs w:val="24"/>
        </w:rPr>
      </w:pPr>
    </w:p>
    <w:p w14:paraId="3469A332" w14:textId="77777777"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Pr>
          <w:rFonts w:ascii="Arial" w:hAnsi="Arial" w:cs="Arial"/>
          <w:sz w:val="24"/>
          <w:szCs w:val="24"/>
        </w:rPr>
        <w:t>the following conversion scheme:</w:t>
      </w:r>
    </w:p>
    <w:p w14:paraId="53A67AEC" w14:textId="77777777"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8C622A" w14:paraId="7716FE9F" w14:textId="77777777" w:rsidTr="008C622A">
        <w:trPr>
          <w:jc w:val="center"/>
        </w:trPr>
        <w:tc>
          <w:tcPr>
            <w:tcW w:w="2123" w:type="dxa"/>
          </w:tcPr>
          <w:p w14:paraId="34C68DB2" w14:textId="77777777" w:rsidR="008C622A" w:rsidRPr="00707F2E" w:rsidRDefault="008C622A" w:rsidP="008C622A">
            <w:pPr>
              <w:pStyle w:val="Style2"/>
              <w:spacing w:line="276" w:lineRule="auto"/>
            </w:pPr>
            <w:r w:rsidRPr="00707F2E">
              <w:t>Letter Grade</w:t>
            </w:r>
          </w:p>
        </w:tc>
        <w:tc>
          <w:tcPr>
            <w:tcW w:w="2340" w:type="dxa"/>
          </w:tcPr>
          <w:p w14:paraId="4036B6F6" w14:textId="77777777" w:rsidR="008C622A" w:rsidRPr="00707F2E" w:rsidRDefault="008C622A" w:rsidP="008C622A">
            <w:pPr>
              <w:pStyle w:val="Style2"/>
              <w:spacing w:line="276" w:lineRule="auto"/>
            </w:pPr>
            <w:r w:rsidRPr="00707F2E">
              <w:t>Percent</w:t>
            </w:r>
          </w:p>
        </w:tc>
        <w:tc>
          <w:tcPr>
            <w:tcW w:w="1656" w:type="dxa"/>
          </w:tcPr>
          <w:p w14:paraId="0E15D848" w14:textId="77777777" w:rsidR="008C622A" w:rsidRPr="00707F2E" w:rsidRDefault="008C622A" w:rsidP="008C622A">
            <w:pPr>
              <w:pStyle w:val="Style2"/>
              <w:spacing w:line="276" w:lineRule="auto"/>
            </w:pPr>
            <w:r>
              <w:t>Points</w:t>
            </w:r>
          </w:p>
        </w:tc>
      </w:tr>
      <w:tr w:rsidR="008C622A" w14:paraId="4418CE04" w14:textId="77777777" w:rsidTr="008C622A">
        <w:trPr>
          <w:jc w:val="center"/>
        </w:trPr>
        <w:tc>
          <w:tcPr>
            <w:tcW w:w="2123" w:type="dxa"/>
          </w:tcPr>
          <w:p w14:paraId="48330A0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913A619"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31D7EFD7"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14:paraId="17C3275C" w14:textId="77777777" w:rsidTr="008C622A">
        <w:trPr>
          <w:jc w:val="center"/>
        </w:trPr>
        <w:tc>
          <w:tcPr>
            <w:tcW w:w="2123" w:type="dxa"/>
          </w:tcPr>
          <w:p w14:paraId="06A4512A"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8CA665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14:paraId="37C4E648"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14:paraId="09F6427D" w14:textId="77777777" w:rsidTr="008C622A">
        <w:trPr>
          <w:jc w:val="center"/>
        </w:trPr>
        <w:tc>
          <w:tcPr>
            <w:tcW w:w="2123" w:type="dxa"/>
          </w:tcPr>
          <w:p w14:paraId="34C9A7A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3732549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14:paraId="20E4F0C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14:paraId="511BE6A7" w14:textId="77777777" w:rsidTr="008C622A">
        <w:trPr>
          <w:jc w:val="center"/>
        </w:trPr>
        <w:tc>
          <w:tcPr>
            <w:tcW w:w="2123" w:type="dxa"/>
          </w:tcPr>
          <w:p w14:paraId="4761655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E7A843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14:paraId="3D2F0D3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14:paraId="562CC461" w14:textId="77777777" w:rsidTr="008C622A">
        <w:trPr>
          <w:jc w:val="center"/>
        </w:trPr>
        <w:tc>
          <w:tcPr>
            <w:tcW w:w="2123" w:type="dxa"/>
          </w:tcPr>
          <w:p w14:paraId="366C7A6C"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AA14E55"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14:paraId="19470F90"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14:paraId="78ABC2D7" w14:textId="77777777" w:rsidTr="008C622A">
        <w:trPr>
          <w:jc w:val="center"/>
        </w:trPr>
        <w:tc>
          <w:tcPr>
            <w:tcW w:w="2123" w:type="dxa"/>
          </w:tcPr>
          <w:p w14:paraId="0E76988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6C5497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14:paraId="09A0CB81"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14:paraId="4F034750" w14:textId="77777777" w:rsidTr="008C622A">
        <w:trPr>
          <w:jc w:val="center"/>
        </w:trPr>
        <w:tc>
          <w:tcPr>
            <w:tcW w:w="2123" w:type="dxa"/>
          </w:tcPr>
          <w:p w14:paraId="705EAE09"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7B4779E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14:paraId="001C0BF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14:paraId="4BD3A054" w14:textId="14C2506C" w:rsidR="008C622A" w:rsidRDefault="008C622A" w:rsidP="008C622A">
      <w:pPr>
        <w:spacing w:after="0" w:line="240" w:lineRule="auto"/>
        <w:rPr>
          <w:rFonts w:ascii="Arial" w:hAnsi="Arial" w:cs="Arial"/>
          <w:b/>
          <w:bCs/>
          <w:sz w:val="24"/>
          <w:szCs w:val="24"/>
        </w:rPr>
      </w:pPr>
    </w:p>
    <w:p w14:paraId="7D93FC86" w14:textId="77777777" w:rsidR="006D1BC0" w:rsidRPr="00F95042" w:rsidRDefault="006D1BC0" w:rsidP="008C622A">
      <w:pPr>
        <w:spacing w:after="0" w:line="240" w:lineRule="auto"/>
        <w:rPr>
          <w:rFonts w:ascii="Arial" w:hAnsi="Arial" w:cs="Arial"/>
          <w:b/>
          <w:bCs/>
          <w:sz w:val="24"/>
          <w:szCs w:val="24"/>
        </w:rPr>
      </w:pPr>
    </w:p>
    <w:p w14:paraId="32FB6DF8" w14:textId="77777777" w:rsidR="00CF5409" w:rsidRDefault="00CF5409" w:rsidP="008C622A">
      <w:pPr>
        <w:spacing w:after="0" w:line="240" w:lineRule="auto"/>
        <w:rPr>
          <w:rFonts w:ascii="Arial" w:hAnsi="Arial" w:cs="Arial"/>
          <w:sz w:val="24"/>
          <w:szCs w:val="24"/>
        </w:rPr>
      </w:pPr>
    </w:p>
    <w:p w14:paraId="5770CC13" w14:textId="77777777" w:rsidR="006D1BC0" w:rsidRPr="003F4E10" w:rsidRDefault="006D1BC0" w:rsidP="006D1BC0">
      <w:pPr>
        <w:spacing w:after="0" w:line="240" w:lineRule="auto"/>
        <w:rPr>
          <w:rFonts w:ascii="Arial" w:hAnsi="Arial" w:cs="Arial"/>
          <w:b/>
          <w:bCs/>
          <w:iCs/>
          <w:sz w:val="24"/>
          <w:szCs w:val="24"/>
        </w:rPr>
      </w:pPr>
      <w:r>
        <w:rPr>
          <w:rFonts w:ascii="Arial" w:hAnsi="Arial" w:cs="Arial"/>
          <w:b/>
          <w:bCs/>
          <w:iCs/>
          <w:sz w:val="24"/>
          <w:szCs w:val="24"/>
        </w:rPr>
        <w:t>Case Studies (3 x 10% = 30%)</w:t>
      </w:r>
    </w:p>
    <w:p w14:paraId="1D51CA8C" w14:textId="77777777" w:rsidR="006D1BC0" w:rsidRPr="00374A14" w:rsidRDefault="006D1BC0" w:rsidP="006D1BC0">
      <w:pPr>
        <w:pStyle w:val="BodyText"/>
        <w:rPr>
          <w:rFonts w:ascii="Arial" w:hAnsi="Arial" w:cs="Arial"/>
          <w:b/>
          <w:bCs/>
          <w:i/>
          <w:iCs/>
        </w:rPr>
      </w:pPr>
      <w:r>
        <w:rPr>
          <w:rFonts w:ascii="Arial" w:hAnsi="Arial" w:cs="Arial"/>
          <w:i/>
          <w:iCs/>
        </w:rPr>
        <w:t xml:space="preserve">All case studies must be purchased through HBS at the link provided above (roughly $15).  Final reports are to be submitted to electronic drop boxes set up on Avenue (only one submission per group is required) by 11:59pm EST on the dates listed below.  Because the cases will be discussed in class the next day, late submissions cannot be accepted.  </w:t>
      </w:r>
      <w:r>
        <w:rPr>
          <w:rFonts w:ascii="Arial" w:hAnsi="Arial" w:cs="Arial"/>
          <w:b/>
          <w:bCs/>
          <w:i/>
          <w:iCs/>
        </w:rPr>
        <w:t>You should make every attempt to form a group within the first two weeks of class so you can begin working together by mid-January.</w:t>
      </w:r>
    </w:p>
    <w:p w14:paraId="65D427EF" w14:textId="77777777" w:rsidR="006D1BC0" w:rsidRDefault="006D1BC0" w:rsidP="006D1BC0">
      <w:pPr>
        <w:pStyle w:val="BodyText"/>
        <w:rPr>
          <w:rFonts w:ascii="Arial" w:hAnsi="Arial" w:cs="Arial"/>
          <w:i/>
          <w:iCs/>
        </w:rPr>
      </w:pPr>
    </w:p>
    <w:p w14:paraId="02B14025" w14:textId="77777777" w:rsidR="006D1BC0" w:rsidRDefault="006D1BC0" w:rsidP="006D1BC0">
      <w:pPr>
        <w:pStyle w:val="BodyText"/>
        <w:rPr>
          <w:rFonts w:ascii="Arial" w:hAnsi="Arial" w:cs="Arial"/>
          <w:b/>
          <w:bCs/>
        </w:rPr>
      </w:pPr>
      <w:r>
        <w:rPr>
          <w:rFonts w:ascii="Arial" w:hAnsi="Arial" w:cs="Arial"/>
          <w:b/>
          <w:bCs/>
        </w:rPr>
        <w:t>Group Project (30%)</w:t>
      </w:r>
    </w:p>
    <w:p w14:paraId="64F69026" w14:textId="77777777" w:rsidR="006D1BC0" w:rsidRDefault="006D1BC0" w:rsidP="006D1BC0">
      <w:pPr>
        <w:spacing w:after="0"/>
        <w:rPr>
          <w:rFonts w:ascii="Arial" w:hAnsi="Arial" w:cs="Arial"/>
          <w:sz w:val="24"/>
          <w:szCs w:val="24"/>
          <w:lang w:val="en-CA"/>
        </w:rPr>
      </w:pPr>
      <w:r>
        <w:rPr>
          <w:rFonts w:ascii="Arial" w:hAnsi="Arial" w:cs="Arial"/>
          <w:sz w:val="24"/>
          <w:szCs w:val="24"/>
          <w:lang w:val="en-CA"/>
        </w:rPr>
        <w:t>This project requires collaborative effort with your selected group to apply the lessons from class to complete a detailed analysis of one of the types of institutions discussed in the course.  Your report should identify the major players in Canada and how they are carrying out their allocation objectives to address the objectives and concerns of their major stakeholder groups.  Most importantly, your report should address modern challenges and opportunities for these organizations, particularly related to how improvements in technology are affecting their markets, business models, and stakeholder relationships.  Your final report should be approximately 3000-4000 words excluding figures, sources, and appendices.  More details will be released via Avenue to Learn in the first week of the second half of the course.</w:t>
      </w:r>
    </w:p>
    <w:p w14:paraId="6204F14C" w14:textId="77777777" w:rsidR="006D1BC0" w:rsidRDefault="006D1BC0" w:rsidP="006D1BC0">
      <w:pPr>
        <w:pStyle w:val="BodyText"/>
        <w:rPr>
          <w:rFonts w:ascii="Arial" w:hAnsi="Arial" w:cs="Arial"/>
          <w:b/>
          <w:bCs/>
        </w:rPr>
      </w:pPr>
    </w:p>
    <w:p w14:paraId="72A9EC3D" w14:textId="77777777" w:rsidR="006D1BC0" w:rsidRDefault="006D1BC0" w:rsidP="006D1BC0">
      <w:pPr>
        <w:pStyle w:val="BodyText"/>
        <w:rPr>
          <w:rFonts w:ascii="Arial" w:hAnsi="Arial" w:cs="Arial"/>
          <w:b/>
          <w:bCs/>
        </w:rPr>
      </w:pPr>
      <w:r>
        <w:rPr>
          <w:rFonts w:ascii="Arial" w:hAnsi="Arial" w:cs="Arial"/>
          <w:b/>
          <w:bCs/>
        </w:rPr>
        <w:t>Writing Assignments (2 x 20% = 40%)</w:t>
      </w:r>
    </w:p>
    <w:p w14:paraId="7BD8D51F" w14:textId="77777777" w:rsidR="006D1BC0" w:rsidRDefault="006D1BC0" w:rsidP="006D1BC0">
      <w:pPr>
        <w:pStyle w:val="BodyText"/>
        <w:rPr>
          <w:rFonts w:ascii="Arial" w:hAnsi="Arial" w:cs="Arial"/>
        </w:rPr>
      </w:pPr>
      <w:r>
        <w:rPr>
          <w:rFonts w:ascii="Arial" w:hAnsi="Arial" w:cs="Arial"/>
        </w:rPr>
        <w:t xml:space="preserve">These individual assignments </w:t>
      </w:r>
      <w:r w:rsidRPr="00D6159C">
        <w:rPr>
          <w:rFonts w:ascii="Arial" w:hAnsi="Arial" w:cs="Arial"/>
        </w:rPr>
        <w:t xml:space="preserve">will cover material from the text book, readings, </w:t>
      </w:r>
      <w:r>
        <w:rPr>
          <w:rFonts w:ascii="Arial" w:hAnsi="Arial" w:cs="Arial"/>
        </w:rPr>
        <w:t xml:space="preserve">lectures and class discussion and are in effect, </w:t>
      </w:r>
      <w:r w:rsidRPr="00D6159C">
        <w:rPr>
          <w:rFonts w:ascii="Arial" w:hAnsi="Arial" w:cs="Arial"/>
          <w:b/>
        </w:rPr>
        <w:t>open-book</w:t>
      </w:r>
      <w:r>
        <w:rPr>
          <w:rFonts w:ascii="Arial" w:hAnsi="Arial" w:cs="Arial"/>
          <w:b/>
        </w:rPr>
        <w:t xml:space="preserve"> take-home tests</w:t>
      </w:r>
      <w:r>
        <w:rPr>
          <w:rFonts w:ascii="Arial" w:hAnsi="Arial" w:cs="Arial"/>
        </w:rPr>
        <w:t>.  Each will address the content covered in the course before their due dates.  The final writing assignment is NOT cumulative.  Both may require students to conduct (limited) external research to support their answers.  Submissions have no minimum length but should be less than 2000 words each.</w:t>
      </w:r>
    </w:p>
    <w:p w14:paraId="781FE565" w14:textId="1A79E055" w:rsidR="00754F77" w:rsidRPr="00F95042" w:rsidRDefault="00754F77" w:rsidP="00F95042">
      <w:pPr>
        <w:spacing w:before="240"/>
        <w:rPr>
          <w:rFonts w:ascii="Arial" w:hAnsi="Arial" w:cs="Arial"/>
          <w:b/>
          <w:bCs/>
          <w:i/>
          <w:iCs/>
          <w:sz w:val="26"/>
          <w:u w:val="single"/>
          <w:lang w:val="en-GB"/>
        </w:rPr>
      </w:pPr>
      <w:r w:rsidRPr="009148BA">
        <w:rPr>
          <w:rFonts w:ascii="Arial" w:hAnsi="Arial" w:cs="Arial"/>
          <w:b/>
          <w:bCs/>
          <w:i/>
          <w:iCs/>
          <w:sz w:val="26"/>
          <w:u w:val="single"/>
          <w:lang w:val="en-GB"/>
        </w:rPr>
        <w:t>Please Note:</w:t>
      </w:r>
    </w:p>
    <w:p w14:paraId="7AB046A1" w14:textId="77777777" w:rsidR="00754F77" w:rsidRPr="009148BA" w:rsidRDefault="00754F77" w:rsidP="00754F77">
      <w:pPr>
        <w:numPr>
          <w:ilvl w:val="0"/>
          <w:numId w:val="18"/>
        </w:numPr>
        <w:spacing w:after="0" w:line="240" w:lineRule="auto"/>
        <w:rPr>
          <w:rFonts w:ascii="Arial" w:hAnsi="Arial" w:cs="Arial"/>
          <w:bCs/>
          <w:iCs/>
          <w:lang w:val="en-GB"/>
        </w:rPr>
      </w:pPr>
      <w:r w:rsidRPr="009148BA">
        <w:rPr>
          <w:rFonts w:ascii="Arial" w:hAnsi="Arial" w:cs="Arial"/>
          <w:bCs/>
          <w:iCs/>
          <w:lang w:val="en-GB"/>
        </w:rPr>
        <w:t xml:space="preserve">There will be NO make-up for any missed assessment activity and NO extra credit work will be offered </w:t>
      </w:r>
      <w:r w:rsidRPr="009148BA">
        <w:rPr>
          <w:rFonts w:ascii="Arial" w:hAnsi="Arial" w:cs="Arial"/>
          <w:bCs/>
          <w:iCs/>
        </w:rPr>
        <w:t>under any circumstance.</w:t>
      </w:r>
    </w:p>
    <w:p w14:paraId="579280E7" w14:textId="77777777" w:rsidR="00754F77" w:rsidRPr="009148BA" w:rsidRDefault="00754F77" w:rsidP="00754F77">
      <w:pPr>
        <w:numPr>
          <w:ilvl w:val="0"/>
          <w:numId w:val="18"/>
        </w:numPr>
        <w:spacing w:after="0" w:line="240" w:lineRule="auto"/>
        <w:rPr>
          <w:rFonts w:ascii="Arial" w:hAnsi="Arial" w:cs="Arial"/>
          <w:bCs/>
          <w:iCs/>
          <w:lang w:val="en-GB"/>
        </w:rPr>
      </w:pPr>
      <w:r w:rsidRPr="009148BA">
        <w:rPr>
          <w:rFonts w:ascii="Arial" w:hAnsi="Arial" w:cs="Arial"/>
          <w:bCs/>
          <w:iCs/>
          <w:lang w:val="en-GB"/>
        </w:rPr>
        <w:t xml:space="preserve">Marks for all pre-final exam evaluation activities will be posted on Avenue. </w:t>
      </w:r>
    </w:p>
    <w:p w14:paraId="2A6805D8" w14:textId="509FE5DC" w:rsidR="00754F77" w:rsidRDefault="00754F77" w:rsidP="00754F77">
      <w:pPr>
        <w:numPr>
          <w:ilvl w:val="0"/>
          <w:numId w:val="18"/>
        </w:numPr>
        <w:spacing w:after="0" w:line="240" w:lineRule="auto"/>
        <w:rPr>
          <w:rFonts w:ascii="Arial" w:hAnsi="Arial" w:cs="Arial"/>
          <w:bCs/>
          <w:iCs/>
          <w:lang w:val="en-GB"/>
        </w:rPr>
      </w:pPr>
      <w:r w:rsidRPr="009148BA">
        <w:rPr>
          <w:rFonts w:ascii="Arial" w:hAnsi="Arial" w:cs="Arial"/>
          <w:bCs/>
          <w:iCs/>
          <w:lang w:val="en-GB"/>
        </w:rPr>
        <w:t>Your final grade should come through official channels. Hence, marks for final exam will not be posted on Avenue.</w:t>
      </w:r>
    </w:p>
    <w:p w14:paraId="2141FF9E" w14:textId="7BF809F1" w:rsidR="00F95042" w:rsidRDefault="00F95042" w:rsidP="00F95042">
      <w:pPr>
        <w:spacing w:after="0" w:line="240" w:lineRule="auto"/>
        <w:rPr>
          <w:rFonts w:ascii="Arial" w:hAnsi="Arial" w:cs="Arial"/>
          <w:bCs/>
          <w:iCs/>
          <w:lang w:val="en-GB"/>
        </w:rPr>
      </w:pPr>
    </w:p>
    <w:p w14:paraId="0C2464BB" w14:textId="15728140" w:rsidR="00D60927" w:rsidRPr="00D41DE6" w:rsidRDefault="00D60927" w:rsidP="00D60927">
      <w:pPr>
        <w:pStyle w:val="Style1"/>
      </w:pPr>
      <w:r>
        <w:t>Communication and Feedback</w:t>
      </w:r>
    </w:p>
    <w:p w14:paraId="6B39150D" w14:textId="77777777" w:rsidR="00D60927" w:rsidRPr="00D41DE6" w:rsidRDefault="00D60927" w:rsidP="00D60927">
      <w:pPr>
        <w:spacing w:after="0" w:line="240" w:lineRule="auto"/>
        <w:rPr>
          <w:rFonts w:ascii="Arial" w:hAnsi="Arial" w:cs="Arial"/>
        </w:rPr>
      </w:pPr>
    </w:p>
    <w:p w14:paraId="46B5B2BA" w14:textId="64D54146"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439666AB" w14:textId="77777777" w:rsidR="008C622A" w:rsidRPr="00F91AB7" w:rsidRDefault="0038501D" w:rsidP="008C622A">
      <w:pPr>
        <w:jc w:val="center"/>
        <w:rPr>
          <w:rFonts w:ascii="Arial" w:hAnsi="Arial" w:cs="Arial"/>
          <w:sz w:val="24"/>
          <w:szCs w:val="24"/>
        </w:rPr>
      </w:pPr>
      <w:hyperlink r:id="rId9" w:history="1">
        <w:r w:rsidR="008C622A" w:rsidRPr="00F91AB7">
          <w:rPr>
            <w:rStyle w:val="Hyperlink"/>
            <w:rFonts w:ascii="Arial" w:hAnsi="Arial" w:cs="Arial"/>
            <w:sz w:val="24"/>
            <w:szCs w:val="24"/>
          </w:rPr>
          <w:t>http://mbastudent.degroote.mcmaster.ca/contact/anonymous/</w:t>
        </w:r>
      </w:hyperlink>
    </w:p>
    <w:p w14:paraId="595B25E0" w14:textId="7A225540" w:rsidR="008C622A" w:rsidRPr="00D6159C" w:rsidRDefault="008C622A" w:rsidP="006D1BC0">
      <w:pPr>
        <w:jc w:val="both"/>
        <w:rPr>
          <w:rFonts w:ascii="Arial" w:hAnsi="Arial" w:cs="Arial"/>
          <w:sz w:val="24"/>
          <w:szCs w:val="24"/>
        </w:rPr>
      </w:pPr>
      <w:r w:rsidRPr="00F91AB7">
        <w:rPr>
          <w:rFonts w:ascii="Arial" w:hAnsi="Arial" w:cs="Arial"/>
          <w:sz w:val="24"/>
          <w:szCs w:val="24"/>
        </w:rPr>
        <w:t xml:space="preserve">Students who wish to correspond with instructors or TAs directly via email must send messages that originate from their official McMaster University email account.  This protects the confidentiality and </w:t>
      </w:r>
      <w:r w:rsidRPr="00F91AB7">
        <w:rPr>
          <w:rFonts w:ascii="Arial" w:hAnsi="Arial" w:cs="Arial"/>
          <w:sz w:val="24"/>
          <w:szCs w:val="24"/>
        </w:rPr>
        <w:lastRenderedPageBreak/>
        <w:t xml:space="preserve">sensitivity of information as well as confirms the identity of the student.  Emails regarding course issues should NOT be sent to the Administrative Assistant. </w:t>
      </w:r>
    </w:p>
    <w:p w14:paraId="18C8D5A0" w14:textId="77777777" w:rsidR="008C622A" w:rsidRPr="00D6159C" w:rsidRDefault="008C622A" w:rsidP="008C622A">
      <w:pPr>
        <w:pStyle w:val="Style1"/>
      </w:pPr>
      <w:r>
        <w:t>Academic Dishonesty</w:t>
      </w:r>
    </w:p>
    <w:p w14:paraId="6BB80708" w14:textId="77777777" w:rsidR="008C622A" w:rsidRPr="00D6159C" w:rsidRDefault="008C622A" w:rsidP="008C622A">
      <w:pPr>
        <w:spacing w:after="0" w:line="240" w:lineRule="auto"/>
        <w:rPr>
          <w:rFonts w:ascii="Arial" w:hAnsi="Arial" w:cs="Arial"/>
          <w:sz w:val="24"/>
          <w:szCs w:val="24"/>
        </w:rPr>
      </w:pPr>
    </w:p>
    <w:p w14:paraId="0DF2A8AF"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 xml:space="preserve">You are expected to exhibit honesty and use ethical </w:t>
      </w:r>
      <w:proofErr w:type="spellStart"/>
      <w:r w:rsidRPr="00C659F1">
        <w:rPr>
          <w:rFonts w:ascii="Arial" w:hAnsi="Arial" w:cs="Arial"/>
          <w:sz w:val="24"/>
        </w:rPr>
        <w:t>behaviour</w:t>
      </w:r>
      <w:proofErr w:type="spellEnd"/>
      <w:r w:rsidRPr="00C659F1">
        <w:rPr>
          <w:rFonts w:ascii="Arial" w:hAnsi="Arial" w:cs="Arial"/>
          <w:sz w:val="24"/>
        </w:rPr>
        <w:t xml:space="preserve"> in all aspects of the learning process. Academic credentials you earn are rooted in principles of honesty and academic integrity.</w:t>
      </w:r>
    </w:p>
    <w:p w14:paraId="313DEEE8" w14:textId="77777777" w:rsidR="008C622A" w:rsidRPr="00C659F1" w:rsidRDefault="008C622A" w:rsidP="008C622A">
      <w:pPr>
        <w:spacing w:after="0" w:line="240" w:lineRule="auto"/>
        <w:rPr>
          <w:rFonts w:ascii="Arial" w:hAnsi="Arial" w:cs="Arial"/>
          <w:sz w:val="24"/>
        </w:rPr>
      </w:pPr>
    </w:p>
    <w:p w14:paraId="30031000"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w:t>
      </w:r>
      <w:proofErr w:type="spellStart"/>
      <w:r w:rsidRPr="00C659F1">
        <w:rPr>
          <w:rFonts w:ascii="Arial" w:hAnsi="Arial" w:cs="Arial"/>
          <w:sz w:val="24"/>
        </w:rPr>
        <w:t>behaviour</w:t>
      </w:r>
      <w:proofErr w:type="spellEnd"/>
      <w:r w:rsidRPr="00C659F1">
        <w:rPr>
          <w:rFonts w:ascii="Arial" w:hAnsi="Arial" w:cs="Arial"/>
          <w:sz w:val="24"/>
        </w:rPr>
        <w:t xml:space="preserve"> can result in serious consequences, e.g. the grade of zero on an assignment, loss of credit with a notation on the transcript (notation reads: “Grade of F assigned for academic dishonesty”), and/or suspension or expulsion from the university.</w:t>
      </w:r>
    </w:p>
    <w:p w14:paraId="0089A20D" w14:textId="77777777" w:rsidR="008C622A" w:rsidRPr="00C659F1" w:rsidRDefault="008C622A" w:rsidP="008C622A">
      <w:pPr>
        <w:spacing w:after="0" w:line="240" w:lineRule="auto"/>
        <w:rPr>
          <w:rFonts w:ascii="Arial" w:hAnsi="Arial" w:cs="Arial"/>
          <w:sz w:val="24"/>
        </w:rPr>
      </w:pPr>
    </w:p>
    <w:p w14:paraId="3B1A7C3A"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021C9D0F" w14:textId="77777777" w:rsidR="008C622A" w:rsidRPr="00C659F1" w:rsidRDefault="008C622A" w:rsidP="008C622A">
      <w:pPr>
        <w:spacing w:after="0" w:line="240" w:lineRule="auto"/>
        <w:rPr>
          <w:rFonts w:ascii="Arial" w:hAnsi="Arial" w:cs="Arial"/>
          <w:sz w:val="24"/>
        </w:rPr>
      </w:pPr>
    </w:p>
    <w:p w14:paraId="1EC1FB2E" w14:textId="77777777" w:rsidR="008C622A" w:rsidRPr="00C659F1" w:rsidRDefault="0038501D" w:rsidP="008C622A">
      <w:pPr>
        <w:spacing w:after="0" w:line="240" w:lineRule="auto"/>
        <w:jc w:val="center"/>
        <w:rPr>
          <w:rFonts w:ascii="Arial" w:hAnsi="Arial" w:cs="Arial"/>
          <w:sz w:val="24"/>
        </w:rPr>
      </w:pPr>
      <w:hyperlink r:id="rId10" w:history="1">
        <w:r w:rsidR="008C622A" w:rsidRPr="00C659F1">
          <w:rPr>
            <w:rStyle w:val="Hyperlink"/>
            <w:rFonts w:ascii="Arial" w:hAnsi="Arial" w:cs="Arial"/>
            <w:sz w:val="24"/>
          </w:rPr>
          <w:t>www.mcmaster.ca/academicintegrity</w:t>
        </w:r>
      </w:hyperlink>
    </w:p>
    <w:p w14:paraId="12CDC611" w14:textId="77777777" w:rsidR="008C622A" w:rsidRPr="00C659F1" w:rsidRDefault="008C622A" w:rsidP="008C622A">
      <w:pPr>
        <w:spacing w:after="0" w:line="240" w:lineRule="auto"/>
        <w:jc w:val="center"/>
        <w:rPr>
          <w:rFonts w:ascii="Arial" w:hAnsi="Arial" w:cs="Arial"/>
          <w:sz w:val="24"/>
        </w:rPr>
      </w:pPr>
    </w:p>
    <w:p w14:paraId="7B34470D"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1F96A580" w14:textId="77777777" w:rsidR="008C622A" w:rsidRPr="00C659F1" w:rsidRDefault="008C622A" w:rsidP="008C622A">
      <w:pPr>
        <w:spacing w:after="0" w:line="240" w:lineRule="auto"/>
        <w:rPr>
          <w:rFonts w:ascii="Arial" w:hAnsi="Arial" w:cs="Arial"/>
          <w:sz w:val="24"/>
        </w:rPr>
      </w:pPr>
    </w:p>
    <w:p w14:paraId="7157E901"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Plagiarism, e.g. the submission of work that is not one’s own or for which other credit has been obtained.</w:t>
      </w:r>
    </w:p>
    <w:p w14:paraId="5492AC78"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19EF6105"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0F69C619" w14:textId="0E07ED93" w:rsidR="008C622A" w:rsidRDefault="008C622A" w:rsidP="008C622A">
      <w:pPr>
        <w:spacing w:after="0" w:line="240" w:lineRule="auto"/>
        <w:jc w:val="both"/>
        <w:rPr>
          <w:rFonts w:ascii="Arial" w:hAnsi="Arial" w:cs="Arial"/>
          <w:sz w:val="24"/>
        </w:rPr>
      </w:pPr>
    </w:p>
    <w:p w14:paraId="6131C8B6" w14:textId="4DEDE3AE" w:rsidR="00967BC1" w:rsidRDefault="00967BC1" w:rsidP="008C622A">
      <w:pPr>
        <w:spacing w:after="0" w:line="240" w:lineRule="auto"/>
        <w:jc w:val="both"/>
        <w:rPr>
          <w:rFonts w:ascii="Arial" w:hAnsi="Arial" w:cs="Arial"/>
          <w:sz w:val="24"/>
        </w:rPr>
      </w:pPr>
    </w:p>
    <w:p w14:paraId="3A4463D3" w14:textId="6CB678C8" w:rsidR="00967BC1" w:rsidRDefault="00967BC1" w:rsidP="008C622A">
      <w:pPr>
        <w:spacing w:after="0" w:line="240" w:lineRule="auto"/>
        <w:jc w:val="both"/>
        <w:rPr>
          <w:rFonts w:ascii="Arial" w:hAnsi="Arial" w:cs="Arial"/>
          <w:sz w:val="24"/>
        </w:rPr>
      </w:pPr>
    </w:p>
    <w:p w14:paraId="2F447669" w14:textId="77777777" w:rsidR="00967BC1" w:rsidRPr="00C659F1" w:rsidRDefault="00967BC1" w:rsidP="008C622A">
      <w:pPr>
        <w:spacing w:after="0" w:line="240" w:lineRule="auto"/>
        <w:jc w:val="both"/>
        <w:rPr>
          <w:rFonts w:ascii="Arial" w:hAnsi="Arial" w:cs="Arial"/>
          <w:sz w:val="24"/>
        </w:rPr>
      </w:pPr>
    </w:p>
    <w:p w14:paraId="448704E1" w14:textId="056251BC" w:rsidR="009300A7" w:rsidRPr="00D6159C" w:rsidRDefault="009300A7" w:rsidP="009300A7">
      <w:pPr>
        <w:pStyle w:val="Style1"/>
      </w:pPr>
      <w:r>
        <w:t>Authenticity/Plagiarism Detection</w:t>
      </w:r>
    </w:p>
    <w:p w14:paraId="764FF693" w14:textId="77777777" w:rsidR="008C622A" w:rsidRDefault="008C622A" w:rsidP="008C622A">
      <w:pPr>
        <w:spacing w:after="0" w:line="240" w:lineRule="auto"/>
        <w:rPr>
          <w:rFonts w:ascii="Arial" w:hAnsi="Arial" w:cs="Arial"/>
          <w:sz w:val="24"/>
        </w:rPr>
      </w:pPr>
    </w:p>
    <w:p w14:paraId="74B36DD8"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t xml:space="preserve">Some courses may </w:t>
      </w:r>
      <w:r w:rsidRPr="009300A7">
        <w:rPr>
          <w:rFonts w:ascii="Arial" w:eastAsia="Liberation Sans Narrow" w:hAnsi="Arial" w:cs="Arial"/>
          <w:sz w:val="24"/>
          <w:szCs w:val="24"/>
        </w:rPr>
        <w:t xml:space="preserve">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 </w:t>
      </w:r>
    </w:p>
    <w:p w14:paraId="2289EED5"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p>
    <w:p w14:paraId="209C227E"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p>
    <w:p w14:paraId="20E40FB2" w14:textId="77777777" w:rsidR="008C622A" w:rsidRPr="009300A7" w:rsidRDefault="008C622A" w:rsidP="008C622A">
      <w:pPr>
        <w:spacing w:after="0" w:line="240" w:lineRule="auto"/>
        <w:rPr>
          <w:rFonts w:ascii="Arial" w:hAnsi="Arial" w:cs="Arial"/>
          <w:sz w:val="24"/>
          <w:szCs w:val="24"/>
        </w:rPr>
      </w:pPr>
    </w:p>
    <w:p w14:paraId="683AE3EC"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lastRenderedPageBreak/>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1" w:history="1">
        <w:r w:rsidRPr="009300A7">
          <w:rPr>
            <w:rFonts w:ascii="Arial" w:hAnsi="Arial" w:cs="Arial"/>
            <w:color w:val="0000FF"/>
            <w:sz w:val="24"/>
            <w:szCs w:val="24"/>
            <w:u w:val="single"/>
          </w:rPr>
          <w:t>www.mcmaster.ca/academicintegrity.</w:t>
        </w:r>
      </w:hyperlink>
    </w:p>
    <w:p w14:paraId="3646C0C8" w14:textId="77777777" w:rsidR="008C622A" w:rsidRPr="009300A7" w:rsidRDefault="008C622A" w:rsidP="008C622A">
      <w:pPr>
        <w:spacing w:after="0" w:line="240" w:lineRule="auto"/>
        <w:rPr>
          <w:rFonts w:ascii="Arial" w:hAnsi="Arial" w:cs="Arial"/>
          <w:sz w:val="24"/>
          <w:szCs w:val="24"/>
        </w:rPr>
      </w:pPr>
    </w:p>
    <w:p w14:paraId="36DF5637" w14:textId="77777777" w:rsidR="009300A7" w:rsidRPr="00D6159C" w:rsidRDefault="009300A7" w:rsidP="009300A7">
      <w:pPr>
        <w:spacing w:after="0" w:line="240" w:lineRule="auto"/>
        <w:rPr>
          <w:rFonts w:ascii="Arial" w:hAnsi="Arial" w:cs="Arial"/>
          <w:sz w:val="24"/>
          <w:szCs w:val="24"/>
        </w:rPr>
      </w:pPr>
    </w:p>
    <w:p w14:paraId="30FB3D2B" w14:textId="66E95A84" w:rsidR="009300A7" w:rsidRPr="00D6159C" w:rsidRDefault="009300A7" w:rsidP="009300A7">
      <w:pPr>
        <w:pStyle w:val="Style1"/>
      </w:pPr>
      <w:r>
        <w:t>Courses with an On-Line Element</w:t>
      </w:r>
    </w:p>
    <w:p w14:paraId="0A221293" w14:textId="77777777" w:rsidR="009300A7" w:rsidRDefault="009300A7" w:rsidP="008C622A">
      <w:pPr>
        <w:spacing w:after="0" w:line="240" w:lineRule="auto"/>
        <w:rPr>
          <w:rFonts w:ascii="Arial" w:hAnsi="Arial" w:cs="Arial"/>
          <w:b/>
          <w:i/>
          <w:sz w:val="24"/>
          <w:szCs w:val="24"/>
          <w:highlight w:val="yellow"/>
        </w:rPr>
      </w:pPr>
    </w:p>
    <w:p w14:paraId="0ED26874" w14:textId="21425E22" w:rsidR="008C622A" w:rsidRPr="009300A7" w:rsidRDefault="008C622A" w:rsidP="008C622A">
      <w:pPr>
        <w:spacing w:after="0" w:line="240" w:lineRule="auto"/>
        <w:rPr>
          <w:rFonts w:ascii="Arial" w:hAnsi="Arial" w:cs="Arial"/>
          <w:spacing w:val="-4"/>
          <w:sz w:val="24"/>
        </w:rPr>
      </w:pPr>
      <w:r w:rsidRPr="009300A7">
        <w:rPr>
          <w:rFonts w:ascii="Arial" w:hAnsi="Arial" w:cs="Arial"/>
          <w:b/>
          <w:i/>
          <w:sz w:val="24"/>
          <w:szCs w:val="24"/>
        </w:rPr>
        <w:t xml:space="preserve">Some courses may </w:t>
      </w:r>
      <w:r w:rsidRPr="009300A7">
        <w:rPr>
          <w:rFonts w:ascii="Arial" w:hAnsi="Arial" w:cs="Arial"/>
          <w:spacing w:val="-3"/>
          <w:sz w:val="24"/>
          <w:szCs w:val="24"/>
        </w:rPr>
        <w:t xml:space="preserve">use </w:t>
      </w:r>
      <w:r w:rsidRPr="009300A7">
        <w:rPr>
          <w:rFonts w:ascii="Arial" w:hAnsi="Arial" w:cs="Arial"/>
          <w:spacing w:val="-5"/>
          <w:sz w:val="24"/>
          <w:szCs w:val="24"/>
        </w:rPr>
        <w:t xml:space="preserve">on-line </w:t>
      </w:r>
      <w:r w:rsidRPr="009300A7">
        <w:rPr>
          <w:rFonts w:ascii="Arial" w:hAnsi="Arial" w:cs="Arial"/>
          <w:spacing w:val="-4"/>
          <w:sz w:val="24"/>
          <w:szCs w:val="24"/>
        </w:rPr>
        <w:t xml:space="preserve">elements (e.g. </w:t>
      </w:r>
      <w:r w:rsidRPr="009300A7">
        <w:rPr>
          <w:rFonts w:ascii="Arial" w:hAnsi="Arial" w:cs="Arial"/>
          <w:sz w:val="24"/>
          <w:szCs w:val="24"/>
        </w:rPr>
        <w:t xml:space="preserve">e-mail, Avenue to Learn (A2L), </w:t>
      </w:r>
      <w:proofErr w:type="spellStart"/>
      <w:r w:rsidRPr="009300A7">
        <w:rPr>
          <w:rFonts w:ascii="Arial" w:hAnsi="Arial" w:cs="Arial"/>
          <w:sz w:val="24"/>
          <w:szCs w:val="24"/>
        </w:rPr>
        <w:t>LearnLink</w:t>
      </w:r>
      <w:proofErr w:type="spellEnd"/>
      <w:r w:rsidRPr="009300A7">
        <w:rPr>
          <w:rFonts w:ascii="Arial" w:hAnsi="Arial" w:cs="Arial"/>
          <w:sz w:val="24"/>
        </w:rPr>
        <w:t xml:space="preserve">, web pages, </w:t>
      </w:r>
      <w:proofErr w:type="spellStart"/>
      <w:r w:rsidRPr="009300A7">
        <w:rPr>
          <w:rFonts w:ascii="Arial" w:hAnsi="Arial" w:cs="Arial"/>
          <w:sz w:val="24"/>
        </w:rPr>
        <w:t>capa</w:t>
      </w:r>
      <w:proofErr w:type="spellEnd"/>
      <w:r w:rsidRPr="009300A7">
        <w:rPr>
          <w:rFonts w:ascii="Arial" w:hAnsi="Arial" w:cs="Arial"/>
          <w:sz w:val="24"/>
        </w:rPr>
        <w:t xml:space="preserve">, Moodle, </w:t>
      </w:r>
      <w:proofErr w:type="spellStart"/>
      <w:r w:rsidRPr="009300A7">
        <w:rPr>
          <w:rFonts w:ascii="Arial" w:hAnsi="Arial" w:cs="Arial"/>
          <w:sz w:val="24"/>
        </w:rPr>
        <w:t>ThinkingCap</w:t>
      </w:r>
      <w:proofErr w:type="spellEnd"/>
      <w:r w:rsidRPr="009300A7">
        <w:rPr>
          <w:rFonts w:ascii="Arial" w:hAnsi="Arial" w:cs="Arial"/>
          <w:sz w:val="24"/>
        </w:rPr>
        <w:t xml:space="preserve">, etc.). </w:t>
      </w:r>
      <w:r w:rsidRPr="009300A7">
        <w:rPr>
          <w:rFonts w:ascii="Arial" w:hAnsi="Arial" w:cs="Arial"/>
          <w:spacing w:val="-4"/>
          <w:sz w:val="24"/>
        </w:rPr>
        <w:t xml:space="preserve">Students should </w:t>
      </w:r>
      <w:r w:rsidRPr="009300A7">
        <w:rPr>
          <w:rFonts w:ascii="Arial" w:hAnsi="Arial" w:cs="Arial"/>
          <w:sz w:val="24"/>
        </w:rPr>
        <w:t xml:space="preserve">be </w:t>
      </w:r>
      <w:r w:rsidRPr="009300A7">
        <w:rPr>
          <w:rFonts w:ascii="Arial" w:hAnsi="Arial" w:cs="Arial"/>
          <w:spacing w:val="-4"/>
          <w:sz w:val="24"/>
        </w:rPr>
        <w:t xml:space="preserve">aware that, when they access </w:t>
      </w:r>
      <w:r w:rsidRPr="009300A7">
        <w:rPr>
          <w:rFonts w:ascii="Arial" w:hAnsi="Arial" w:cs="Arial"/>
          <w:spacing w:val="-3"/>
          <w:sz w:val="24"/>
        </w:rPr>
        <w:t xml:space="preserve">the </w:t>
      </w:r>
      <w:r w:rsidRPr="009300A7">
        <w:rPr>
          <w:rFonts w:ascii="Arial" w:hAnsi="Arial" w:cs="Arial"/>
          <w:spacing w:val="-4"/>
          <w:sz w:val="24"/>
        </w:rPr>
        <w:t xml:space="preserve">electronic components </w:t>
      </w:r>
      <w:r w:rsidRPr="009300A7">
        <w:rPr>
          <w:rFonts w:ascii="Arial" w:hAnsi="Arial" w:cs="Arial"/>
          <w:sz w:val="24"/>
        </w:rPr>
        <w:t xml:space="preserve">of a </w:t>
      </w:r>
      <w:r w:rsidRPr="009300A7">
        <w:rPr>
          <w:rFonts w:ascii="Arial" w:hAnsi="Arial" w:cs="Arial"/>
          <w:spacing w:val="-3"/>
          <w:sz w:val="24"/>
        </w:rPr>
        <w:t xml:space="preserve">course </w:t>
      </w:r>
      <w:r w:rsidRPr="009300A7">
        <w:rPr>
          <w:rFonts w:ascii="Arial" w:hAnsi="Arial" w:cs="Arial"/>
          <w:sz w:val="24"/>
        </w:rPr>
        <w:t xml:space="preserve">using these </w:t>
      </w:r>
      <w:r w:rsidRPr="009300A7">
        <w:rPr>
          <w:rFonts w:ascii="Arial" w:hAnsi="Arial" w:cs="Arial"/>
          <w:spacing w:val="-3"/>
          <w:sz w:val="24"/>
        </w:rPr>
        <w:t xml:space="preserve">elements, private information </w:t>
      </w:r>
      <w:r w:rsidRPr="009300A7">
        <w:rPr>
          <w:rFonts w:ascii="Arial" w:hAnsi="Arial" w:cs="Arial"/>
          <w:sz w:val="24"/>
        </w:rPr>
        <w:t xml:space="preserve">such as </w:t>
      </w:r>
      <w:r w:rsidRPr="009300A7">
        <w:rPr>
          <w:rFonts w:ascii="Arial" w:hAnsi="Arial" w:cs="Arial"/>
          <w:spacing w:val="-3"/>
          <w:sz w:val="24"/>
        </w:rPr>
        <w:t xml:space="preserve">first </w:t>
      </w:r>
      <w:r w:rsidRPr="009300A7">
        <w:rPr>
          <w:rFonts w:ascii="Arial" w:hAnsi="Arial" w:cs="Arial"/>
          <w:sz w:val="24"/>
        </w:rPr>
        <w:t xml:space="preserve">and last </w:t>
      </w:r>
      <w:r w:rsidRPr="009300A7">
        <w:rPr>
          <w:rFonts w:ascii="Arial" w:hAnsi="Arial" w:cs="Arial"/>
          <w:spacing w:val="-3"/>
          <w:sz w:val="24"/>
        </w:rPr>
        <w:t xml:space="preserve">names, </w:t>
      </w:r>
      <w:r w:rsidRPr="009300A7">
        <w:rPr>
          <w:rFonts w:ascii="Arial" w:hAnsi="Arial" w:cs="Arial"/>
          <w:sz w:val="24"/>
        </w:rPr>
        <w:t xml:space="preserve">user names for the </w:t>
      </w:r>
      <w:r w:rsidRPr="009300A7">
        <w:rPr>
          <w:rFonts w:ascii="Arial" w:hAnsi="Arial" w:cs="Arial"/>
          <w:spacing w:val="-3"/>
          <w:sz w:val="24"/>
        </w:rPr>
        <w:t xml:space="preserve">McMaster </w:t>
      </w:r>
      <w:r w:rsidRPr="009300A7">
        <w:rPr>
          <w:rFonts w:ascii="Arial" w:hAnsi="Arial" w:cs="Arial"/>
          <w:sz w:val="24"/>
        </w:rPr>
        <w:t xml:space="preserve">e-mail </w:t>
      </w:r>
      <w:r w:rsidRPr="009300A7">
        <w:rPr>
          <w:rFonts w:ascii="Arial" w:hAnsi="Arial" w:cs="Arial"/>
          <w:spacing w:val="-3"/>
          <w:sz w:val="24"/>
        </w:rPr>
        <w:t xml:space="preserve">accounts, </w:t>
      </w:r>
      <w:r w:rsidRPr="009300A7">
        <w:rPr>
          <w:rFonts w:ascii="Arial" w:hAnsi="Arial" w:cs="Arial"/>
          <w:spacing w:val="-4"/>
          <w:sz w:val="24"/>
        </w:rPr>
        <w:t xml:space="preserve">and program </w:t>
      </w:r>
      <w:r w:rsidRPr="009300A7">
        <w:rPr>
          <w:rFonts w:ascii="Arial" w:hAnsi="Arial" w:cs="Arial"/>
          <w:spacing w:val="-5"/>
          <w:sz w:val="24"/>
        </w:rPr>
        <w:t xml:space="preserve">affiliation </w:t>
      </w:r>
      <w:r w:rsidRPr="009300A7">
        <w:rPr>
          <w:rFonts w:ascii="Arial" w:hAnsi="Arial" w:cs="Arial"/>
          <w:spacing w:val="-4"/>
          <w:sz w:val="24"/>
        </w:rPr>
        <w:t xml:space="preserve">may become apparent </w:t>
      </w:r>
      <w:r w:rsidRPr="009300A7">
        <w:rPr>
          <w:rFonts w:ascii="Arial" w:hAnsi="Arial" w:cs="Arial"/>
          <w:spacing w:val="-3"/>
          <w:sz w:val="24"/>
        </w:rPr>
        <w:t xml:space="preserve">to all </w:t>
      </w:r>
      <w:r w:rsidRPr="009300A7">
        <w:rPr>
          <w:rFonts w:ascii="Arial" w:hAnsi="Arial" w:cs="Arial"/>
          <w:spacing w:val="-4"/>
          <w:sz w:val="24"/>
        </w:rPr>
        <w:t xml:space="preserve">other students </w:t>
      </w:r>
      <w:r w:rsidRPr="009300A7">
        <w:rPr>
          <w:rFonts w:ascii="Arial" w:hAnsi="Arial" w:cs="Arial"/>
          <w:spacing w:val="-3"/>
          <w:sz w:val="24"/>
        </w:rPr>
        <w:t xml:space="preserve">in the </w:t>
      </w:r>
      <w:r w:rsidRPr="009300A7">
        <w:rPr>
          <w:rFonts w:ascii="Arial" w:hAnsi="Arial" w:cs="Arial"/>
          <w:spacing w:val="-4"/>
          <w:sz w:val="24"/>
        </w:rPr>
        <w:t xml:space="preserve">same course. </w:t>
      </w:r>
    </w:p>
    <w:p w14:paraId="38FDE93B" w14:textId="77777777" w:rsidR="008C622A" w:rsidRPr="009300A7" w:rsidRDefault="008C622A" w:rsidP="008C622A">
      <w:pPr>
        <w:spacing w:after="0" w:line="240" w:lineRule="auto"/>
        <w:rPr>
          <w:rFonts w:ascii="Arial" w:hAnsi="Arial" w:cs="Arial"/>
          <w:spacing w:val="-4"/>
          <w:sz w:val="24"/>
        </w:rPr>
      </w:pPr>
    </w:p>
    <w:p w14:paraId="7FE95405" w14:textId="0259A64E" w:rsidR="008C622A" w:rsidRPr="009300A7" w:rsidRDefault="008C622A" w:rsidP="008C622A">
      <w:pPr>
        <w:spacing w:after="0" w:line="240" w:lineRule="auto"/>
        <w:rPr>
          <w:rFonts w:ascii="Arial" w:hAnsi="Arial" w:cs="Arial"/>
          <w:sz w:val="24"/>
        </w:rPr>
      </w:pPr>
      <w:r w:rsidRPr="009300A7">
        <w:rPr>
          <w:rFonts w:ascii="Arial" w:hAnsi="Arial" w:cs="Arial"/>
          <w:spacing w:val="-4"/>
          <w:sz w:val="24"/>
        </w:rPr>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14:paraId="354950FB" w14:textId="77777777" w:rsidR="008C622A" w:rsidRPr="009300A7" w:rsidRDefault="008C622A" w:rsidP="008C622A">
      <w:pPr>
        <w:spacing w:after="0" w:line="240" w:lineRule="auto"/>
        <w:rPr>
          <w:rFonts w:ascii="Arial" w:hAnsi="Arial" w:cs="Arial"/>
          <w:sz w:val="24"/>
          <w:szCs w:val="24"/>
        </w:rPr>
      </w:pPr>
    </w:p>
    <w:p w14:paraId="189C142C" w14:textId="77777777" w:rsidR="009300A7" w:rsidRPr="00D6159C" w:rsidRDefault="009300A7" w:rsidP="009300A7">
      <w:pPr>
        <w:spacing w:after="0" w:line="240" w:lineRule="auto"/>
        <w:rPr>
          <w:rFonts w:ascii="Arial" w:hAnsi="Arial" w:cs="Arial"/>
          <w:sz w:val="24"/>
          <w:szCs w:val="24"/>
        </w:rPr>
      </w:pPr>
    </w:p>
    <w:p w14:paraId="36BE9994" w14:textId="2883370F" w:rsidR="009300A7" w:rsidRPr="00D6159C" w:rsidRDefault="009300A7" w:rsidP="009300A7">
      <w:pPr>
        <w:pStyle w:val="Style1"/>
      </w:pPr>
      <w:r>
        <w:t>Conduct Expectations</w:t>
      </w:r>
    </w:p>
    <w:p w14:paraId="49168214" w14:textId="77777777" w:rsidR="009300A7" w:rsidRPr="00D6159C" w:rsidRDefault="009300A7" w:rsidP="009300A7">
      <w:pPr>
        <w:spacing w:after="0" w:line="240" w:lineRule="auto"/>
        <w:rPr>
          <w:rFonts w:ascii="Arial" w:hAnsi="Arial" w:cs="Arial"/>
          <w:sz w:val="24"/>
          <w:szCs w:val="24"/>
        </w:rPr>
      </w:pPr>
    </w:p>
    <w:p w14:paraId="3D84B66E" w14:textId="77777777"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respectful and dignified interactions within all of our living, learning and working communities. These expectations are described in the </w:t>
      </w:r>
      <w:hyperlink r:id="rId12"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14:paraId="27577992" w14:textId="77777777" w:rsidR="008C622A" w:rsidRPr="009300A7" w:rsidRDefault="008C622A" w:rsidP="008C622A">
      <w:pPr>
        <w:spacing w:after="0" w:line="240" w:lineRule="auto"/>
        <w:rPr>
          <w:rFonts w:ascii="Arial" w:hAnsi="Arial" w:cs="Arial"/>
          <w:sz w:val="24"/>
          <w:szCs w:val="24"/>
        </w:rPr>
      </w:pPr>
    </w:p>
    <w:p w14:paraId="61DFA72F"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9300A7">
        <w:rPr>
          <w:rFonts w:ascii="Arial" w:hAnsi="Arial" w:cs="Arial"/>
          <w:sz w:val="24"/>
          <w:szCs w:val="24"/>
        </w:rPr>
        <w:t>behaviours</w:t>
      </w:r>
      <w:proofErr w:type="spellEnd"/>
      <w:r w:rsidRPr="009300A7">
        <w:rPr>
          <w:rFonts w:ascii="Arial" w:hAnsi="Arial" w:cs="Arial"/>
          <w:sz w:val="24"/>
          <w:szCs w:val="24"/>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B74D597" w14:textId="77777777" w:rsidR="008C622A" w:rsidRDefault="008C622A" w:rsidP="008C622A">
      <w:pPr>
        <w:spacing w:after="0" w:line="240" w:lineRule="auto"/>
        <w:rPr>
          <w:rFonts w:ascii="Arial" w:hAnsi="Arial" w:cs="Arial"/>
          <w:sz w:val="28"/>
          <w:szCs w:val="24"/>
        </w:rPr>
      </w:pPr>
    </w:p>
    <w:p w14:paraId="1C32B329" w14:textId="77777777" w:rsidR="008C622A" w:rsidRPr="00C659F1" w:rsidRDefault="008C622A" w:rsidP="008C622A">
      <w:pPr>
        <w:pStyle w:val="Style1"/>
      </w:pPr>
      <w:r>
        <w:t>Missed Academic Work</w:t>
      </w:r>
    </w:p>
    <w:p w14:paraId="600FF34D" w14:textId="77777777" w:rsidR="008C622A" w:rsidRPr="000F4379" w:rsidRDefault="008C622A" w:rsidP="008C622A">
      <w:pPr>
        <w:spacing w:after="0" w:line="240" w:lineRule="auto"/>
        <w:rPr>
          <w:rFonts w:ascii="Arial" w:hAnsi="Arial" w:cs="Arial"/>
          <w:sz w:val="28"/>
          <w:szCs w:val="24"/>
        </w:rPr>
      </w:pPr>
    </w:p>
    <w:p w14:paraId="5EF5AEC8" w14:textId="77777777" w:rsidR="008C622A" w:rsidRPr="00651CC6" w:rsidRDefault="008C622A" w:rsidP="008C622A">
      <w:pPr>
        <w:rPr>
          <w:rFonts w:ascii="Arial" w:hAnsi="Arial" w:cs="Arial"/>
          <w:color w:val="000000"/>
          <w:sz w:val="18"/>
          <w:szCs w:val="18"/>
        </w:rPr>
      </w:pPr>
      <w:r w:rsidRPr="0049301C">
        <w:rPr>
          <w:rFonts w:ascii="Arial" w:hAnsi="Arial" w:cs="Arial"/>
          <w:b/>
          <w:bCs/>
          <w:i/>
          <w:iCs/>
          <w:sz w:val="28"/>
          <w:szCs w:val="28"/>
        </w:rPr>
        <w:t>Missed Mid-Term Examinations / Tests / Class Participation</w:t>
      </w:r>
      <w:r w:rsidRPr="00651CC6">
        <w:rPr>
          <w:rFonts w:ascii="Arial" w:hAnsi="Arial" w:cs="Arial"/>
          <w:color w:val="000000"/>
          <w:sz w:val="18"/>
          <w:szCs w:val="18"/>
        </w:rPr>
        <w:t> </w:t>
      </w:r>
    </w:p>
    <w:p w14:paraId="123F1862" w14:textId="77777777" w:rsidR="008C622A" w:rsidRPr="007C475B" w:rsidRDefault="008C622A" w:rsidP="00967BC1">
      <w:pPr>
        <w:rPr>
          <w:rFonts w:ascii="Arial" w:hAnsi="Arial" w:cs="Arial"/>
          <w:sz w:val="24"/>
          <w:szCs w:val="24"/>
        </w:rPr>
      </w:pPr>
      <w:r w:rsidRPr="007C475B">
        <w:rPr>
          <w:rFonts w:ascii="Arial" w:hAnsi="Arial" w:cs="Arial"/>
          <w:sz w:val="24"/>
          <w:szCs w:val="24"/>
        </w:rPr>
        <w:t xml:space="preserve">Where students miss a regularly scheduled mid-term or class participation for legitimate reasons as determined by the Student Experience – Academic (MBA) office, the weight for that test/participation </w:t>
      </w:r>
      <w:r w:rsidRPr="007C475B">
        <w:rPr>
          <w:rFonts w:ascii="Arial" w:hAnsi="Arial" w:cs="Arial"/>
          <w:sz w:val="24"/>
          <w:szCs w:val="24"/>
        </w:rPr>
        <w:lastRenderedPageBreak/>
        <w:t>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19972665" w14:textId="77777777" w:rsidR="008C622A" w:rsidRPr="007C475B" w:rsidRDefault="008C622A" w:rsidP="00967BC1">
      <w:pPr>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3"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4"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DeGroote website at</w:t>
      </w:r>
      <w:r w:rsidRPr="007C475B">
        <w:rPr>
          <w:rFonts w:ascii="Arial" w:hAnsi="Arial" w:cs="Arial"/>
          <w:sz w:val="24"/>
          <w:szCs w:val="24"/>
        </w:rPr>
        <w:t xml:space="preserve"> </w:t>
      </w:r>
      <w:hyperlink r:id="rId15"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56A8AC68" w14:textId="77777777" w:rsidR="008C622A" w:rsidRPr="007C475B" w:rsidRDefault="008C622A" w:rsidP="00967BC1">
      <w:pPr>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16"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1FEB0912" w14:textId="77777777" w:rsidR="008C622A" w:rsidRDefault="008C622A" w:rsidP="00967BC1">
      <w:pPr>
        <w:rPr>
          <w:rFonts w:ascii="Arial" w:hAnsi="Arial" w:cs="Arial"/>
          <w:sz w:val="24"/>
          <w:szCs w:val="24"/>
        </w:rPr>
      </w:pPr>
      <w:r w:rsidRPr="007C475B">
        <w:rPr>
          <w:rFonts w:ascii="Arial" w:hAnsi="Arial" w:cs="Arial"/>
          <w:sz w:val="24"/>
          <w:szCs w:val="24"/>
        </w:rPr>
        <w:t xml:space="preserve">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must be 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14:paraId="16C7B19D" w14:textId="5636473C" w:rsidR="008C622A" w:rsidRDefault="008C622A" w:rsidP="00967BC1">
      <w:pPr>
        <w:rPr>
          <w:rFonts w:ascii="Arial" w:hAnsi="Arial" w:cs="Arial"/>
          <w:sz w:val="24"/>
          <w:szCs w:val="24"/>
        </w:rPr>
      </w:pPr>
      <w:r w:rsidRPr="007C475B">
        <w:rPr>
          <w:rFonts w:ascii="Arial" w:hAnsi="Arial" w:cs="Arial"/>
          <w:sz w:val="24"/>
          <w:szCs w:val="24"/>
        </w:rPr>
        <w:t>If a mid-term exam is missed without a valid reason, students will receive a grade of zero (0) for that component. </w:t>
      </w:r>
    </w:p>
    <w:p w14:paraId="7B57B13E" w14:textId="77777777" w:rsidR="004608A8" w:rsidRDefault="004608A8" w:rsidP="00967BC1">
      <w:pPr>
        <w:rPr>
          <w:rFonts w:ascii="Arial" w:hAnsi="Arial" w:cs="Arial"/>
          <w:sz w:val="24"/>
          <w:szCs w:val="24"/>
        </w:rPr>
      </w:pPr>
    </w:p>
    <w:p w14:paraId="05F57EC0" w14:textId="77777777" w:rsidR="008C622A" w:rsidRDefault="008C622A" w:rsidP="00967BC1">
      <w:pPr>
        <w:rPr>
          <w:rFonts w:ascii="Arial" w:hAnsi="Arial" w:cs="Arial"/>
          <w:b/>
          <w:bCs/>
          <w:i/>
          <w:iCs/>
          <w:sz w:val="28"/>
          <w:szCs w:val="28"/>
        </w:rPr>
      </w:pPr>
      <w:r w:rsidRPr="0049301C">
        <w:rPr>
          <w:rFonts w:ascii="Arial" w:hAnsi="Arial" w:cs="Arial"/>
          <w:b/>
          <w:bCs/>
          <w:i/>
          <w:iCs/>
          <w:sz w:val="28"/>
          <w:szCs w:val="28"/>
        </w:rPr>
        <w:t>Missed Final Examinations</w:t>
      </w:r>
    </w:p>
    <w:p w14:paraId="360C2D65" w14:textId="77777777" w:rsidR="008C622A" w:rsidRPr="00AD42A5" w:rsidRDefault="008C622A" w:rsidP="00967BC1">
      <w:pPr>
        <w:rPr>
          <w:rFonts w:ascii="Arial" w:hAnsi="Arial" w:cs="Arial"/>
          <w:sz w:val="24"/>
          <w:szCs w:val="24"/>
        </w:rPr>
      </w:pPr>
      <w:r w:rsidRPr="00AD42A5">
        <w:rPr>
          <w:rFonts w:ascii="Arial" w:hAnsi="Arial" w:cs="Arial"/>
          <w:sz w:val="24"/>
          <w:szCs w:val="24"/>
        </w:rPr>
        <w:t>A student who misses a final examination without good reason will receive a mark of 0 on the examination.</w:t>
      </w:r>
    </w:p>
    <w:p w14:paraId="0C364486" w14:textId="77777777" w:rsidR="008C622A" w:rsidRPr="00AD42A5" w:rsidRDefault="008C622A" w:rsidP="00967BC1">
      <w:pPr>
        <w:rPr>
          <w:rFonts w:ascii="Arial" w:hAnsi="Arial" w:cs="Arial"/>
          <w:sz w:val="24"/>
          <w:szCs w:val="24"/>
        </w:rPr>
      </w:pPr>
      <w:r w:rsidRPr="00AD42A5">
        <w:rPr>
          <w:rFonts w:ascii="Arial" w:hAnsi="Arial" w:cs="Arial"/>
          <w:sz w:val="24"/>
          <w:szCs w:val="24"/>
        </w:rPr>
        <w:t>All applications for deferred and special examination arrangements must be made to the Student Experience – Academic (MBA) office.  Failure to meet the stated deadlines may result in the denial of these arrangements. Deferred examination privileges, if granted, must be satisfied during the examination period at the end of the following term. There will be one common sitting for all deferred exams.</w:t>
      </w:r>
    </w:p>
    <w:p w14:paraId="18EF9170" w14:textId="77777777" w:rsidR="008C622A" w:rsidRPr="00AD42A5" w:rsidRDefault="008C622A" w:rsidP="00967BC1">
      <w:pPr>
        <w:rPr>
          <w:rFonts w:ascii="Arial" w:hAnsi="Arial" w:cs="Arial"/>
          <w:sz w:val="24"/>
          <w:szCs w:val="24"/>
        </w:rPr>
      </w:pPr>
      <w:r w:rsidRPr="00AD42A5">
        <w:rPr>
          <w:rFonts w:ascii="Arial" w:hAnsi="Arial" w:cs="Arial"/>
          <w:sz w:val="24"/>
          <w:szCs w:val="24"/>
        </w:rPr>
        <w:t xml:space="preserve">Failure to write an approved deferred examination at the pre-scheduled time will result in a failure for that examination, except in the case of exceptional circumstances where documentation has been provided and approved.  Upon approval, no credit will be given for the course, and the notation N.C. (no credit) will be placed on the student’s transcript.  Students receiving no credit for a required </w:t>
      </w:r>
      <w:r w:rsidRPr="00AD42A5">
        <w:rPr>
          <w:rFonts w:ascii="Arial" w:hAnsi="Arial" w:cs="Arial"/>
          <w:sz w:val="24"/>
          <w:szCs w:val="24"/>
        </w:rPr>
        <w:lastRenderedPageBreak/>
        <w:t>course must repeat the course. Optional or elective courses for which no credit is given may be repeated or replaced with another course of equal credit value.</w:t>
      </w:r>
    </w:p>
    <w:p w14:paraId="39AB377A" w14:textId="77777777" w:rsidR="008C622A" w:rsidRPr="00AD42A5" w:rsidRDefault="008C622A" w:rsidP="00967BC1">
      <w:pPr>
        <w:rPr>
          <w:rFonts w:ascii="Arial" w:hAnsi="Arial" w:cs="Arial"/>
          <w:sz w:val="24"/>
          <w:szCs w:val="24"/>
        </w:rPr>
      </w:pPr>
      <w:r w:rsidRPr="00AD42A5">
        <w:rPr>
          <w:rFonts w:ascii="Arial" w:hAnsi="Arial" w:cs="Arial"/>
          <w:sz w:val="24"/>
          <w:szCs w:val="24"/>
        </w:rPr>
        <w:t>Requests for a second deferral or rescheduling of a deferred examination will not be considered.</w:t>
      </w:r>
    </w:p>
    <w:p w14:paraId="787C093A" w14:textId="77777777" w:rsidR="008C622A" w:rsidRPr="00AD42A5" w:rsidRDefault="008C622A" w:rsidP="00967BC1">
      <w:pPr>
        <w:rPr>
          <w:rFonts w:ascii="Arial" w:hAnsi="Arial" w:cs="Arial"/>
          <w:sz w:val="24"/>
          <w:szCs w:val="24"/>
        </w:rPr>
      </w:pPr>
      <w:r w:rsidRPr="00AD42A5">
        <w:rPr>
          <w:rFonts w:ascii="Arial" w:hAnsi="Arial" w:cs="Arial"/>
          <w:sz w:val="24"/>
          <w:szCs w:val="24"/>
        </w:rPr>
        <w:t xml:space="preserve">Any student who is unable to write a final examination because of illness is required to submit the </w:t>
      </w:r>
      <w:hyperlink r:id="rId17"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a statement from a doctor certifying illness on the date of the examination.  The </w:t>
      </w:r>
      <w:hyperlink r:id="rId18"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the </w:t>
      </w:r>
      <w:hyperlink r:id="rId19" w:tgtFrame="_popup" w:history="1">
        <w:r w:rsidRPr="00AD42A5">
          <w:rPr>
            <w:rFonts w:ascii="Arial" w:hAnsi="Arial" w:cs="Arial"/>
            <w:sz w:val="24"/>
            <w:szCs w:val="24"/>
          </w:rPr>
          <w:t>McMaster University Student Health Certificate</w:t>
        </w:r>
      </w:hyperlink>
      <w:r w:rsidRPr="00AD42A5">
        <w:rPr>
          <w:rFonts w:ascii="Arial" w:hAnsi="Arial" w:cs="Arial"/>
          <w:sz w:val="24"/>
          <w:szCs w:val="24"/>
        </w:rPr>
        <w:t xml:space="preserve"> can be found on the DeGroote website at </w:t>
      </w:r>
      <w:hyperlink r:id="rId20" w:history="1">
        <w:r w:rsidRPr="00AD42A5">
          <w:rPr>
            <w:rFonts w:ascii="Arial" w:hAnsi="Arial" w:cs="Arial"/>
            <w:sz w:val="24"/>
            <w:szCs w:val="24"/>
          </w:rPr>
          <w:t>http://mbastudent.degroote.mcmaster.ca/forms-and-applications/</w:t>
        </w:r>
      </w:hyperlink>
      <w:r w:rsidRPr="00AD42A5">
        <w:rPr>
          <w:rFonts w:ascii="Arial" w:hAnsi="Arial" w:cs="Arial"/>
          <w:sz w:val="24"/>
          <w:szCs w:val="24"/>
        </w:rPr>
        <w:t xml:space="preserve">  Please do not use the online McMaster Student Absence Form as this is for Undergraduate students only.  Students who write examinations while ill will not be given special consideration after the fact. </w:t>
      </w:r>
    </w:p>
    <w:p w14:paraId="497AE1F8" w14:textId="77777777" w:rsidR="008C622A" w:rsidRPr="00AD42A5" w:rsidRDefault="008C622A" w:rsidP="00967BC1">
      <w:pPr>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five business days of the missed examination.</w:t>
      </w:r>
    </w:p>
    <w:p w14:paraId="0A3BB027" w14:textId="77777777" w:rsidR="008C622A" w:rsidRPr="00AD42A5" w:rsidRDefault="008C622A" w:rsidP="00967BC1">
      <w:pPr>
        <w:rPr>
          <w:rFonts w:ascii="Arial" w:hAnsi="Arial" w:cs="Arial"/>
          <w:sz w:val="24"/>
          <w:szCs w:val="24"/>
        </w:rPr>
      </w:pPr>
      <w:r w:rsidRPr="00AD42A5">
        <w:rPr>
          <w:rFonts w:ascii="Arial" w:hAnsi="Arial" w:cs="Arial"/>
          <w:sz w:val="24"/>
          <w:szCs w:val="24"/>
        </w:rPr>
        <w:t>Special examination arrangements may be made for students unable to write at the posted exam time due to compelling reasons (for example religious, or for part-time students only, work-related reasons):</w:t>
      </w:r>
    </w:p>
    <w:p w14:paraId="2EE17F77" w14:textId="77777777" w:rsidR="008C622A" w:rsidRPr="00AD42A5" w:rsidRDefault="008C622A" w:rsidP="00967BC1">
      <w:pPr>
        <w:numPr>
          <w:ilvl w:val="0"/>
          <w:numId w:val="10"/>
        </w:numPr>
        <w:spacing w:after="0" w:line="240" w:lineRule="auto"/>
        <w:rPr>
          <w:rFonts w:ascii="Arial" w:hAnsi="Arial" w:cs="Arial"/>
          <w:sz w:val="24"/>
          <w:szCs w:val="24"/>
        </w:rPr>
      </w:pPr>
      <w:r w:rsidRPr="00AD42A5">
        <w:rPr>
          <w:rFonts w:ascii="Arial" w:hAnsi="Arial" w:cs="Arial"/>
          <w:sz w:val="24"/>
          <w:szCs w:val="24"/>
        </w:rPr>
        <w:t xml:space="preserve">Students who have religious obligations which make it impossible to write examinations at the times posted are required to produce a letter from their religious leader stating that they are unable to be present owing to a religious obligation.  </w:t>
      </w:r>
    </w:p>
    <w:p w14:paraId="1BE3D405" w14:textId="77777777" w:rsidR="008C622A" w:rsidRDefault="008C622A" w:rsidP="00967BC1">
      <w:pPr>
        <w:numPr>
          <w:ilvl w:val="0"/>
          <w:numId w:val="10"/>
        </w:numPr>
        <w:spacing w:after="0" w:line="240" w:lineRule="auto"/>
        <w:rPr>
          <w:rFonts w:ascii="Arial" w:hAnsi="Arial" w:cs="Arial"/>
          <w:sz w:val="24"/>
          <w:szCs w:val="24"/>
        </w:rPr>
      </w:pPr>
      <w:r w:rsidRPr="00310DDE">
        <w:rPr>
          <w:rFonts w:ascii="Arial" w:hAnsi="Arial" w:cs="Arial"/>
          <w:sz w:val="24"/>
          <w:szCs w:val="24"/>
        </w:rPr>
        <w:t xml:space="preserve">Part-time students who have business commitments which make it impossible to write examinations at the times posted are required to produce a letter on company letterhead from the student’s immediate supervisor stating that they are unable to be present owing to a specific job commitment. </w:t>
      </w:r>
    </w:p>
    <w:p w14:paraId="0E498ADA" w14:textId="77777777" w:rsidR="008C622A" w:rsidRPr="00310DDE" w:rsidRDefault="008C622A" w:rsidP="00967BC1">
      <w:pPr>
        <w:spacing w:after="0" w:line="240" w:lineRule="auto"/>
        <w:ind w:left="720"/>
        <w:rPr>
          <w:rFonts w:ascii="Arial" w:hAnsi="Arial" w:cs="Arial"/>
          <w:sz w:val="24"/>
          <w:szCs w:val="24"/>
        </w:rPr>
      </w:pPr>
    </w:p>
    <w:p w14:paraId="3660882A" w14:textId="77777777" w:rsidR="008C622A" w:rsidRDefault="008C622A" w:rsidP="00967BC1">
      <w:pPr>
        <w:rPr>
          <w:rFonts w:ascii="Arial" w:hAnsi="Arial" w:cs="Arial"/>
          <w:sz w:val="24"/>
          <w:szCs w:val="24"/>
        </w:rPr>
      </w:pPr>
      <w:r w:rsidRPr="00AD42A5">
        <w:rPr>
          <w:rFonts w:ascii="Arial" w:hAnsi="Arial" w:cs="Arial"/>
          <w:sz w:val="24"/>
          <w:szCs w:val="24"/>
        </w:rPr>
        <w:t xml:space="preserve">In such cases, applications must be made in writing to the Student Experience – Academic (MBA) office at least ten business days before the scheduled examination date and acceptable documentation must be supplied.  </w:t>
      </w:r>
    </w:p>
    <w:p w14:paraId="30548B3A" w14:textId="77777777" w:rsidR="008C622A" w:rsidRPr="00AD42A5" w:rsidRDefault="008C622A" w:rsidP="00967BC1">
      <w:pPr>
        <w:rPr>
          <w:rFonts w:ascii="Arial" w:hAnsi="Arial" w:cs="Arial"/>
          <w:sz w:val="24"/>
          <w:szCs w:val="24"/>
        </w:rPr>
      </w:pPr>
      <w:r w:rsidRPr="00AD42A5">
        <w:rPr>
          <w:rFonts w:ascii="Arial" w:hAnsi="Arial" w:cs="Arial"/>
          <w:sz w:val="24"/>
          <w:szCs w:val="24"/>
        </w:rPr>
        <w:t>If a student is representing the University at an academic or athletic event and is available at an overlapping scheduled time of the test/examination, the student may write the test/examination at an approved location with an approved invigilator, as determined by the Student Experience – Academic (MBA) office.</w:t>
      </w:r>
    </w:p>
    <w:p w14:paraId="7B36B004" w14:textId="77777777" w:rsidR="008C622A" w:rsidRDefault="008C622A" w:rsidP="00967BC1">
      <w:pPr>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ten business days of the end of the examination period</w:t>
      </w:r>
      <w:r>
        <w:rPr>
          <w:rFonts w:ascii="Arial" w:hAnsi="Arial" w:cs="Arial"/>
          <w:sz w:val="24"/>
          <w:szCs w:val="24"/>
        </w:rPr>
        <w:t>.</w:t>
      </w:r>
    </w:p>
    <w:p w14:paraId="614268A3" w14:textId="6E379FAA" w:rsidR="008C622A" w:rsidRDefault="008C622A" w:rsidP="00967BC1">
      <w:pPr>
        <w:rPr>
          <w:rFonts w:ascii="Arial" w:hAnsi="Arial" w:cs="Arial"/>
          <w:sz w:val="24"/>
          <w:szCs w:val="24"/>
        </w:rPr>
      </w:pPr>
      <w:r w:rsidRPr="00AD42A5">
        <w:rPr>
          <w:rFonts w:ascii="Arial" w:hAnsi="Arial" w:cs="Arial"/>
          <w:sz w:val="24"/>
          <w:szCs w:val="24"/>
        </w:rPr>
        <w:t>Note: A fee of $50 will be charged for a deferred exam written on campus and a fee of $100 for deferred exams written elsewhere. In cases where the student’s standing is in doubt, the Graduate Admissions and Study Committee may require that the student with one or more deferred examination privileges refrain from re-registering until the examination(s) have been cleared.</w:t>
      </w:r>
    </w:p>
    <w:p w14:paraId="66F53E9B" w14:textId="696FB844" w:rsidR="004608A8" w:rsidRDefault="004608A8" w:rsidP="00967BC1">
      <w:pPr>
        <w:rPr>
          <w:rFonts w:ascii="Arial" w:hAnsi="Arial" w:cs="Arial"/>
          <w:sz w:val="24"/>
          <w:szCs w:val="24"/>
        </w:rPr>
      </w:pPr>
    </w:p>
    <w:p w14:paraId="7DFD017C" w14:textId="6E2EEAC1" w:rsidR="004608A8" w:rsidRDefault="004608A8" w:rsidP="00967BC1">
      <w:pPr>
        <w:rPr>
          <w:rFonts w:ascii="Arial" w:hAnsi="Arial" w:cs="Arial"/>
          <w:sz w:val="24"/>
          <w:szCs w:val="24"/>
        </w:rPr>
      </w:pPr>
    </w:p>
    <w:p w14:paraId="18F0DFEF" w14:textId="77777777" w:rsidR="004608A8" w:rsidRDefault="004608A8" w:rsidP="00967BC1">
      <w:pPr>
        <w:rPr>
          <w:rFonts w:ascii="Arial" w:hAnsi="Arial" w:cs="Arial"/>
          <w:sz w:val="24"/>
          <w:szCs w:val="24"/>
        </w:rPr>
      </w:pPr>
    </w:p>
    <w:p w14:paraId="4BB51BA4" w14:textId="157BADDE" w:rsidR="008C622A" w:rsidRPr="004069F7" w:rsidRDefault="000C54CB" w:rsidP="00967BC1">
      <w:pPr>
        <w:pStyle w:val="Style1"/>
      </w:pPr>
      <w:r>
        <w:t>Academic Accommodation of students with disabilities</w:t>
      </w:r>
    </w:p>
    <w:p w14:paraId="7DF24807" w14:textId="77777777" w:rsidR="008C622A" w:rsidRPr="00724B3F" w:rsidRDefault="008C622A" w:rsidP="00967BC1">
      <w:pPr>
        <w:spacing w:after="0" w:line="240" w:lineRule="auto"/>
        <w:rPr>
          <w:rFonts w:ascii="Arial" w:hAnsi="Arial" w:cs="Arial"/>
          <w:sz w:val="24"/>
          <w:szCs w:val="24"/>
        </w:rPr>
      </w:pPr>
    </w:p>
    <w:p w14:paraId="52C2327F" w14:textId="77777777" w:rsidR="008C622A" w:rsidRPr="002F413B" w:rsidRDefault="008C622A" w:rsidP="00967BC1">
      <w:pPr>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F181902" w14:textId="77777777" w:rsidR="008C622A" w:rsidRPr="002F413B" w:rsidRDefault="0038501D" w:rsidP="00967BC1">
      <w:pPr>
        <w:rPr>
          <w:rFonts w:ascii="Arial" w:hAnsi="Arial" w:cs="Arial"/>
          <w:sz w:val="24"/>
          <w:szCs w:val="24"/>
        </w:rPr>
      </w:pPr>
      <w:hyperlink r:id="rId21"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14:paraId="25DAE40B" w14:textId="66389FBA" w:rsidR="009300A7" w:rsidRPr="00D6159C" w:rsidRDefault="009300A7" w:rsidP="00967BC1">
      <w:pPr>
        <w:pStyle w:val="Style1"/>
      </w:pPr>
      <w:r>
        <w:t>Religious, Indigenous or Spiritual Observances (RISO)</w:t>
      </w:r>
    </w:p>
    <w:p w14:paraId="596B3C4E" w14:textId="77777777" w:rsidR="009300A7" w:rsidRPr="00D6159C" w:rsidRDefault="009300A7" w:rsidP="00967BC1">
      <w:pPr>
        <w:spacing w:after="0" w:line="240" w:lineRule="auto"/>
        <w:rPr>
          <w:rFonts w:ascii="Arial" w:hAnsi="Arial" w:cs="Arial"/>
          <w:sz w:val="24"/>
          <w:szCs w:val="24"/>
        </w:rPr>
      </w:pPr>
    </w:p>
    <w:p w14:paraId="7D5A0E00" w14:textId="77777777" w:rsidR="008C622A" w:rsidRPr="00B30D25" w:rsidRDefault="008C622A" w:rsidP="00967BC1">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2"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02D81D40" w14:textId="77777777" w:rsidR="008C622A" w:rsidRPr="00B30D25" w:rsidRDefault="008C622A" w:rsidP="008C622A">
      <w:pPr>
        <w:spacing w:after="0" w:line="240" w:lineRule="auto"/>
        <w:rPr>
          <w:sz w:val="24"/>
        </w:rPr>
      </w:pPr>
    </w:p>
    <w:p w14:paraId="07F3762C" w14:textId="50384C89" w:rsidR="00B30D25" w:rsidRPr="00D6159C" w:rsidRDefault="00B30D25" w:rsidP="00B30D25">
      <w:pPr>
        <w:pStyle w:val="Style1"/>
        <w:rPr>
          <w:sz w:val="24"/>
          <w:szCs w:val="24"/>
        </w:rPr>
      </w:pPr>
      <w:r>
        <w:t>Copyright and Recording</w:t>
      </w:r>
    </w:p>
    <w:p w14:paraId="37E6CE7B" w14:textId="77777777" w:rsidR="008C622A" w:rsidRPr="00B43D53" w:rsidRDefault="008C622A" w:rsidP="008C622A">
      <w:pPr>
        <w:spacing w:after="0" w:line="240" w:lineRule="auto"/>
        <w:rPr>
          <w:rFonts w:ascii="Arial" w:hAnsi="Arial" w:cs="Arial"/>
          <w:sz w:val="28"/>
          <w:szCs w:val="24"/>
          <w:highlight w:val="yellow"/>
        </w:rPr>
      </w:pPr>
    </w:p>
    <w:p w14:paraId="6C8472FF" w14:textId="35688D44"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University instructors. </w:t>
      </w:r>
      <w:r w:rsidR="004608A8">
        <w:rPr>
          <w:rFonts w:ascii="Arial" w:hAnsi="Arial" w:cs="Arial"/>
          <w:sz w:val="24"/>
        </w:rPr>
        <w:t xml:space="preserve"> </w:t>
      </w:r>
      <w:r w:rsidRPr="00B30D25">
        <w:rPr>
          <w:rFonts w:ascii="Arial" w:hAnsi="Arial" w:cs="Arial"/>
          <w:sz w:val="24"/>
        </w:rPr>
        <w:t xml:space="preserve">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w:t>
      </w:r>
      <w:r w:rsidR="004608A8">
        <w:rPr>
          <w:rFonts w:ascii="Arial" w:hAnsi="Arial" w:cs="Arial"/>
          <w:sz w:val="24"/>
        </w:rPr>
        <w:t>S</w:t>
      </w:r>
      <w:r w:rsidRPr="00B30D25">
        <w:rPr>
          <w:rFonts w:ascii="Arial" w:hAnsi="Arial" w:cs="Arial"/>
          <w:sz w:val="24"/>
        </w:rPr>
        <w:t>peak with the instructor if this is a concern.</w:t>
      </w:r>
    </w:p>
    <w:p w14:paraId="303C90E1" w14:textId="77777777" w:rsidR="008C622A" w:rsidRPr="00B43D53" w:rsidRDefault="008C622A" w:rsidP="008C622A">
      <w:pPr>
        <w:spacing w:after="0" w:line="240" w:lineRule="auto"/>
        <w:rPr>
          <w:rFonts w:ascii="Arial" w:hAnsi="Arial" w:cs="Arial"/>
          <w:sz w:val="24"/>
          <w:highlight w:val="yellow"/>
        </w:rPr>
      </w:pPr>
    </w:p>
    <w:p w14:paraId="6B0635B6" w14:textId="77777777" w:rsidR="008C622A" w:rsidRPr="00FE4972" w:rsidRDefault="008C622A" w:rsidP="008C622A">
      <w:pPr>
        <w:pStyle w:val="Style1"/>
      </w:pPr>
      <w:r>
        <w:t>Potential Modification to the Course</w:t>
      </w:r>
    </w:p>
    <w:p w14:paraId="68477064" w14:textId="77777777" w:rsidR="008C622A" w:rsidRPr="00C659F1" w:rsidRDefault="008C622A" w:rsidP="008C622A">
      <w:pPr>
        <w:spacing w:after="0" w:line="240" w:lineRule="auto"/>
        <w:rPr>
          <w:rFonts w:ascii="Arial" w:hAnsi="Arial" w:cs="Arial"/>
          <w:sz w:val="28"/>
          <w:szCs w:val="24"/>
        </w:rPr>
      </w:pPr>
    </w:p>
    <w:p w14:paraId="59562C40" w14:textId="2F010A9F" w:rsidR="00967BC1" w:rsidRDefault="008C622A" w:rsidP="004608A8">
      <w:pPr>
        <w:spacing w:after="0" w:line="240" w:lineRule="auto"/>
        <w:rPr>
          <w:rFonts w:ascii="Arial" w:hAnsi="Arial" w:cs="Arial"/>
          <w:sz w:val="24"/>
        </w:rPr>
      </w:pPr>
      <w:r w:rsidRPr="00D06F38">
        <w:rPr>
          <w:rFonts w:ascii="Arial" w:hAnsi="Arial" w:cs="Arial"/>
          <w:sz w:val="24"/>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w:t>
      </w:r>
      <w:r w:rsidRPr="00D06F38">
        <w:rPr>
          <w:rFonts w:ascii="Arial" w:hAnsi="Arial" w:cs="Arial"/>
          <w:sz w:val="24"/>
        </w:rPr>
        <w:lastRenderedPageBreak/>
        <w:t>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Pr>
          <w:rFonts w:ascii="Arial" w:hAnsi="Arial" w:cs="Arial"/>
          <w:sz w:val="24"/>
        </w:rPr>
        <w:t xml:space="preserve">he term and to note any changes. </w:t>
      </w:r>
    </w:p>
    <w:p w14:paraId="5A83801A" w14:textId="77777777" w:rsidR="008C622A" w:rsidRPr="00D06F38" w:rsidRDefault="008C622A" w:rsidP="008C622A">
      <w:pPr>
        <w:pStyle w:val="Style1"/>
      </w:pPr>
      <w:r>
        <w:t>Acknowledgement of Course Policies</w:t>
      </w:r>
    </w:p>
    <w:p w14:paraId="01D63B9E" w14:textId="77777777" w:rsidR="008C622A" w:rsidRDefault="008C622A" w:rsidP="008C622A">
      <w:pPr>
        <w:spacing w:after="0" w:line="240" w:lineRule="auto"/>
        <w:rPr>
          <w:rFonts w:ascii="Arial" w:hAnsi="Arial" w:cs="Arial"/>
          <w:sz w:val="24"/>
          <w:szCs w:val="24"/>
        </w:rPr>
      </w:pPr>
    </w:p>
    <w:p w14:paraId="12B9CB88" w14:textId="6717311C" w:rsidR="008C622A" w:rsidRDefault="008C622A" w:rsidP="008C622A">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 xml:space="preserve">Your registration and continuous participation (e.g. on A2L, in the classroom, etc.) to the various learning activities of </w:t>
      </w:r>
      <w:r>
        <w:rPr>
          <w:rFonts w:ascii="Arial" w:hAnsi="Arial" w:cs="Arial"/>
          <w:color w:val="000000"/>
          <w:sz w:val="24"/>
        </w:rPr>
        <w:t>MBA</w:t>
      </w:r>
      <w:r w:rsidRPr="0006159A">
        <w:rPr>
          <w:rFonts w:ascii="Arial" w:hAnsi="Arial" w:cs="Arial"/>
          <w:color w:val="000000"/>
          <w:sz w:val="24"/>
        </w:rPr>
        <w:t xml:space="preserve"> </w:t>
      </w:r>
      <w:r w:rsidR="004608A8">
        <w:rPr>
          <w:rFonts w:ascii="Arial" w:hAnsi="Arial" w:cs="Arial"/>
          <w:color w:val="000000"/>
          <w:sz w:val="24"/>
        </w:rPr>
        <w:t>F718</w:t>
      </w:r>
      <w:r w:rsidRPr="0006159A">
        <w:rPr>
          <w:rFonts w:ascii="Arial" w:hAnsi="Arial" w:cs="Arial"/>
          <w:color w:val="000000"/>
          <w:sz w:val="24"/>
        </w:rPr>
        <w:t xml:space="preserve"> 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14:paraId="7CC1DD8C" w14:textId="77777777" w:rsidR="008C622A" w:rsidRPr="0006159A" w:rsidRDefault="008C622A" w:rsidP="008C622A">
      <w:pPr>
        <w:autoSpaceDE w:val="0"/>
        <w:autoSpaceDN w:val="0"/>
        <w:spacing w:after="0" w:line="240" w:lineRule="auto"/>
        <w:jc w:val="both"/>
        <w:rPr>
          <w:rFonts w:ascii="Arial" w:hAnsi="Arial" w:cs="Arial"/>
          <w:sz w:val="24"/>
        </w:rPr>
      </w:pPr>
    </w:p>
    <w:p w14:paraId="345D3D18" w14:textId="77777777" w:rsidR="008C622A" w:rsidRPr="0006159A" w:rsidRDefault="008C622A" w:rsidP="008C622A">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1E876CA3" w14:textId="59EC7D33" w:rsidR="008C622A" w:rsidRDefault="008C622A" w:rsidP="008C622A">
      <w:pPr>
        <w:spacing w:after="0" w:line="240" w:lineRule="auto"/>
        <w:rPr>
          <w:rFonts w:ascii="Arial" w:hAnsi="Arial" w:cs="Arial"/>
          <w:sz w:val="24"/>
          <w:szCs w:val="24"/>
        </w:rPr>
      </w:pPr>
    </w:p>
    <w:p w14:paraId="608BE138" w14:textId="75C98A31" w:rsidR="00967BC1" w:rsidRDefault="00967BC1" w:rsidP="008C622A">
      <w:pPr>
        <w:spacing w:after="0" w:line="240" w:lineRule="auto"/>
        <w:rPr>
          <w:rFonts w:ascii="Arial" w:hAnsi="Arial" w:cs="Arial"/>
          <w:sz w:val="24"/>
          <w:szCs w:val="24"/>
        </w:rPr>
      </w:pPr>
    </w:p>
    <w:p w14:paraId="4FC76925" w14:textId="30198749" w:rsidR="004608A8" w:rsidRDefault="004608A8" w:rsidP="008C622A">
      <w:pPr>
        <w:spacing w:after="0" w:line="240" w:lineRule="auto"/>
        <w:rPr>
          <w:rFonts w:ascii="Arial" w:hAnsi="Arial" w:cs="Arial"/>
          <w:sz w:val="24"/>
          <w:szCs w:val="24"/>
        </w:rPr>
      </w:pPr>
    </w:p>
    <w:p w14:paraId="5E67C300" w14:textId="4DB0BBC7" w:rsidR="004608A8" w:rsidRDefault="004608A8" w:rsidP="008C622A">
      <w:pPr>
        <w:spacing w:after="0" w:line="240" w:lineRule="auto"/>
        <w:rPr>
          <w:rFonts w:ascii="Arial" w:hAnsi="Arial" w:cs="Arial"/>
          <w:sz w:val="24"/>
          <w:szCs w:val="24"/>
        </w:rPr>
      </w:pPr>
    </w:p>
    <w:p w14:paraId="1020A6E6" w14:textId="4FAF84B8" w:rsidR="004608A8" w:rsidRDefault="004608A8" w:rsidP="008C622A">
      <w:pPr>
        <w:spacing w:after="0" w:line="240" w:lineRule="auto"/>
        <w:rPr>
          <w:rFonts w:ascii="Arial" w:hAnsi="Arial" w:cs="Arial"/>
          <w:sz w:val="24"/>
          <w:szCs w:val="24"/>
        </w:rPr>
      </w:pPr>
    </w:p>
    <w:p w14:paraId="1B836568" w14:textId="1AD6031A" w:rsidR="004608A8" w:rsidRDefault="004608A8" w:rsidP="008C622A">
      <w:pPr>
        <w:spacing w:after="0" w:line="240" w:lineRule="auto"/>
        <w:rPr>
          <w:rFonts w:ascii="Arial" w:hAnsi="Arial" w:cs="Arial"/>
          <w:sz w:val="24"/>
          <w:szCs w:val="24"/>
        </w:rPr>
      </w:pPr>
    </w:p>
    <w:p w14:paraId="1F41B864" w14:textId="374B93CB" w:rsidR="004608A8" w:rsidRDefault="004608A8" w:rsidP="008C622A">
      <w:pPr>
        <w:spacing w:after="0" w:line="240" w:lineRule="auto"/>
        <w:rPr>
          <w:rFonts w:ascii="Arial" w:hAnsi="Arial" w:cs="Arial"/>
          <w:sz w:val="24"/>
          <w:szCs w:val="24"/>
        </w:rPr>
      </w:pPr>
    </w:p>
    <w:p w14:paraId="6971A6D0" w14:textId="4819721F" w:rsidR="004608A8" w:rsidRDefault="004608A8" w:rsidP="008C622A">
      <w:pPr>
        <w:spacing w:after="0" w:line="240" w:lineRule="auto"/>
        <w:rPr>
          <w:rFonts w:ascii="Arial" w:hAnsi="Arial" w:cs="Arial"/>
          <w:sz w:val="24"/>
          <w:szCs w:val="24"/>
        </w:rPr>
      </w:pPr>
    </w:p>
    <w:p w14:paraId="133BF312" w14:textId="7DE8AAEA" w:rsidR="004608A8" w:rsidRDefault="004608A8" w:rsidP="008C622A">
      <w:pPr>
        <w:spacing w:after="0" w:line="240" w:lineRule="auto"/>
        <w:rPr>
          <w:rFonts w:ascii="Arial" w:hAnsi="Arial" w:cs="Arial"/>
          <w:sz w:val="24"/>
          <w:szCs w:val="24"/>
        </w:rPr>
      </w:pPr>
    </w:p>
    <w:p w14:paraId="61F1C7BF" w14:textId="1388C43B" w:rsidR="004608A8" w:rsidRDefault="004608A8" w:rsidP="008C622A">
      <w:pPr>
        <w:spacing w:after="0" w:line="240" w:lineRule="auto"/>
        <w:rPr>
          <w:rFonts w:ascii="Arial" w:hAnsi="Arial" w:cs="Arial"/>
          <w:sz w:val="24"/>
          <w:szCs w:val="24"/>
        </w:rPr>
      </w:pPr>
    </w:p>
    <w:p w14:paraId="00DCB6BF" w14:textId="2E5B706A" w:rsidR="004608A8" w:rsidRDefault="004608A8" w:rsidP="008C622A">
      <w:pPr>
        <w:spacing w:after="0" w:line="240" w:lineRule="auto"/>
        <w:rPr>
          <w:rFonts w:ascii="Arial" w:hAnsi="Arial" w:cs="Arial"/>
          <w:sz w:val="24"/>
          <w:szCs w:val="24"/>
        </w:rPr>
      </w:pPr>
    </w:p>
    <w:p w14:paraId="04F460BD" w14:textId="2E2FE38D" w:rsidR="004608A8" w:rsidRDefault="004608A8" w:rsidP="008C622A">
      <w:pPr>
        <w:spacing w:after="0" w:line="240" w:lineRule="auto"/>
        <w:rPr>
          <w:rFonts w:ascii="Arial" w:hAnsi="Arial" w:cs="Arial"/>
          <w:sz w:val="24"/>
          <w:szCs w:val="24"/>
        </w:rPr>
      </w:pPr>
    </w:p>
    <w:p w14:paraId="7E3972D8" w14:textId="7CF7D01F" w:rsidR="004608A8" w:rsidRDefault="004608A8" w:rsidP="008C622A">
      <w:pPr>
        <w:spacing w:after="0" w:line="240" w:lineRule="auto"/>
        <w:rPr>
          <w:rFonts w:ascii="Arial" w:hAnsi="Arial" w:cs="Arial"/>
          <w:sz w:val="24"/>
          <w:szCs w:val="24"/>
        </w:rPr>
      </w:pPr>
    </w:p>
    <w:p w14:paraId="49F84367" w14:textId="543E8FEC" w:rsidR="004608A8" w:rsidRDefault="004608A8" w:rsidP="008C622A">
      <w:pPr>
        <w:spacing w:after="0" w:line="240" w:lineRule="auto"/>
        <w:rPr>
          <w:rFonts w:ascii="Arial" w:hAnsi="Arial" w:cs="Arial"/>
          <w:sz w:val="24"/>
          <w:szCs w:val="24"/>
        </w:rPr>
      </w:pPr>
    </w:p>
    <w:p w14:paraId="7F2431D7" w14:textId="2A98EE88" w:rsidR="004608A8" w:rsidRDefault="004608A8" w:rsidP="008C622A">
      <w:pPr>
        <w:spacing w:after="0" w:line="240" w:lineRule="auto"/>
        <w:rPr>
          <w:rFonts w:ascii="Arial" w:hAnsi="Arial" w:cs="Arial"/>
          <w:sz w:val="24"/>
          <w:szCs w:val="24"/>
        </w:rPr>
      </w:pPr>
    </w:p>
    <w:p w14:paraId="4803A0C3" w14:textId="4E3B2C02" w:rsidR="004608A8" w:rsidRDefault="004608A8" w:rsidP="008C622A">
      <w:pPr>
        <w:spacing w:after="0" w:line="240" w:lineRule="auto"/>
        <w:rPr>
          <w:rFonts w:ascii="Arial" w:hAnsi="Arial" w:cs="Arial"/>
          <w:sz w:val="24"/>
          <w:szCs w:val="24"/>
        </w:rPr>
      </w:pPr>
    </w:p>
    <w:p w14:paraId="4F143A64" w14:textId="5610FD39" w:rsidR="004608A8" w:rsidRDefault="004608A8" w:rsidP="008C622A">
      <w:pPr>
        <w:spacing w:after="0" w:line="240" w:lineRule="auto"/>
        <w:rPr>
          <w:rFonts w:ascii="Arial" w:hAnsi="Arial" w:cs="Arial"/>
          <w:sz w:val="24"/>
          <w:szCs w:val="24"/>
        </w:rPr>
      </w:pPr>
    </w:p>
    <w:p w14:paraId="64CF46F3" w14:textId="7EE1D0E9" w:rsidR="004608A8" w:rsidRDefault="004608A8" w:rsidP="008C622A">
      <w:pPr>
        <w:spacing w:after="0" w:line="240" w:lineRule="auto"/>
        <w:rPr>
          <w:rFonts w:ascii="Arial" w:hAnsi="Arial" w:cs="Arial"/>
          <w:sz w:val="24"/>
          <w:szCs w:val="24"/>
        </w:rPr>
      </w:pPr>
    </w:p>
    <w:p w14:paraId="3818656B" w14:textId="1AF78D92" w:rsidR="004608A8" w:rsidRDefault="004608A8" w:rsidP="008C622A">
      <w:pPr>
        <w:spacing w:after="0" w:line="240" w:lineRule="auto"/>
        <w:rPr>
          <w:rFonts w:ascii="Arial" w:hAnsi="Arial" w:cs="Arial"/>
          <w:sz w:val="24"/>
          <w:szCs w:val="24"/>
        </w:rPr>
      </w:pPr>
    </w:p>
    <w:p w14:paraId="25FEC965" w14:textId="3A80F9BD" w:rsidR="004608A8" w:rsidRDefault="004608A8" w:rsidP="008C622A">
      <w:pPr>
        <w:spacing w:after="0" w:line="240" w:lineRule="auto"/>
        <w:rPr>
          <w:rFonts w:ascii="Arial" w:hAnsi="Arial" w:cs="Arial"/>
          <w:sz w:val="24"/>
          <w:szCs w:val="24"/>
        </w:rPr>
      </w:pPr>
    </w:p>
    <w:p w14:paraId="00F99D88" w14:textId="031D2408" w:rsidR="004608A8" w:rsidRDefault="004608A8" w:rsidP="008C622A">
      <w:pPr>
        <w:spacing w:after="0" w:line="240" w:lineRule="auto"/>
        <w:rPr>
          <w:rFonts w:ascii="Arial" w:hAnsi="Arial" w:cs="Arial"/>
          <w:sz w:val="24"/>
          <w:szCs w:val="24"/>
        </w:rPr>
      </w:pPr>
    </w:p>
    <w:p w14:paraId="0FFBEE2C" w14:textId="4EECD3DA" w:rsidR="004608A8" w:rsidRDefault="004608A8" w:rsidP="008C622A">
      <w:pPr>
        <w:spacing w:after="0" w:line="240" w:lineRule="auto"/>
        <w:rPr>
          <w:rFonts w:ascii="Arial" w:hAnsi="Arial" w:cs="Arial"/>
          <w:sz w:val="24"/>
          <w:szCs w:val="24"/>
        </w:rPr>
      </w:pPr>
    </w:p>
    <w:p w14:paraId="6E8836C9" w14:textId="7AAAA46B" w:rsidR="004608A8" w:rsidRDefault="004608A8" w:rsidP="008C622A">
      <w:pPr>
        <w:spacing w:after="0" w:line="240" w:lineRule="auto"/>
        <w:rPr>
          <w:rFonts w:ascii="Arial" w:hAnsi="Arial" w:cs="Arial"/>
          <w:sz w:val="24"/>
          <w:szCs w:val="24"/>
        </w:rPr>
      </w:pPr>
    </w:p>
    <w:p w14:paraId="7F72902F" w14:textId="691249E4" w:rsidR="004608A8" w:rsidRDefault="004608A8" w:rsidP="008C622A">
      <w:pPr>
        <w:spacing w:after="0" w:line="240" w:lineRule="auto"/>
        <w:rPr>
          <w:rFonts w:ascii="Arial" w:hAnsi="Arial" w:cs="Arial"/>
          <w:sz w:val="24"/>
          <w:szCs w:val="24"/>
        </w:rPr>
      </w:pPr>
    </w:p>
    <w:p w14:paraId="7DA9A28A" w14:textId="6FCD8BDB" w:rsidR="004608A8" w:rsidRDefault="004608A8" w:rsidP="008C622A">
      <w:pPr>
        <w:spacing w:after="0" w:line="240" w:lineRule="auto"/>
        <w:rPr>
          <w:rFonts w:ascii="Arial" w:hAnsi="Arial" w:cs="Arial"/>
          <w:sz w:val="24"/>
          <w:szCs w:val="24"/>
        </w:rPr>
      </w:pPr>
    </w:p>
    <w:p w14:paraId="3B7B36FC" w14:textId="00F94714" w:rsidR="004608A8" w:rsidRDefault="004608A8" w:rsidP="008C622A">
      <w:pPr>
        <w:spacing w:after="0" w:line="240" w:lineRule="auto"/>
        <w:rPr>
          <w:rFonts w:ascii="Arial" w:hAnsi="Arial" w:cs="Arial"/>
          <w:sz w:val="24"/>
          <w:szCs w:val="24"/>
        </w:rPr>
      </w:pPr>
    </w:p>
    <w:p w14:paraId="76288275" w14:textId="0B21CB8D" w:rsidR="004608A8" w:rsidRDefault="004608A8" w:rsidP="008C622A">
      <w:pPr>
        <w:spacing w:after="0" w:line="240" w:lineRule="auto"/>
        <w:rPr>
          <w:rFonts w:ascii="Arial" w:hAnsi="Arial" w:cs="Arial"/>
          <w:sz w:val="24"/>
          <w:szCs w:val="24"/>
        </w:rPr>
      </w:pPr>
    </w:p>
    <w:p w14:paraId="2A8AA7C8" w14:textId="2453690B" w:rsidR="004608A8" w:rsidRDefault="004608A8" w:rsidP="008C622A">
      <w:pPr>
        <w:spacing w:after="0" w:line="240" w:lineRule="auto"/>
        <w:rPr>
          <w:rFonts w:ascii="Arial" w:hAnsi="Arial" w:cs="Arial"/>
          <w:sz w:val="24"/>
          <w:szCs w:val="24"/>
        </w:rPr>
      </w:pPr>
    </w:p>
    <w:p w14:paraId="2EF1861E" w14:textId="02B2EC71" w:rsidR="004608A8" w:rsidRDefault="004608A8" w:rsidP="008C622A">
      <w:pPr>
        <w:spacing w:after="0" w:line="240" w:lineRule="auto"/>
        <w:rPr>
          <w:rFonts w:ascii="Arial" w:hAnsi="Arial" w:cs="Arial"/>
          <w:sz w:val="24"/>
          <w:szCs w:val="24"/>
        </w:rPr>
      </w:pPr>
    </w:p>
    <w:p w14:paraId="25255FBA" w14:textId="25D630A6" w:rsidR="004608A8" w:rsidRDefault="004608A8" w:rsidP="008C622A">
      <w:pPr>
        <w:spacing w:after="0" w:line="240" w:lineRule="auto"/>
        <w:rPr>
          <w:rFonts w:ascii="Arial" w:hAnsi="Arial" w:cs="Arial"/>
          <w:sz w:val="24"/>
          <w:szCs w:val="24"/>
        </w:rPr>
      </w:pPr>
    </w:p>
    <w:p w14:paraId="25152520" w14:textId="373E07C7" w:rsidR="004608A8" w:rsidRDefault="004608A8" w:rsidP="008C622A">
      <w:pPr>
        <w:spacing w:after="0" w:line="240" w:lineRule="auto"/>
        <w:rPr>
          <w:rFonts w:ascii="Arial" w:hAnsi="Arial" w:cs="Arial"/>
          <w:sz w:val="24"/>
          <w:szCs w:val="24"/>
        </w:rPr>
      </w:pPr>
    </w:p>
    <w:p w14:paraId="61BD3E40" w14:textId="3409F8BD" w:rsidR="004608A8" w:rsidRDefault="004608A8" w:rsidP="008C622A">
      <w:pPr>
        <w:spacing w:after="0" w:line="240" w:lineRule="auto"/>
        <w:rPr>
          <w:rFonts w:ascii="Arial" w:hAnsi="Arial" w:cs="Arial"/>
          <w:sz w:val="24"/>
          <w:szCs w:val="24"/>
        </w:rPr>
      </w:pPr>
    </w:p>
    <w:p w14:paraId="7D983C2E" w14:textId="77777777" w:rsidR="004608A8" w:rsidRDefault="004608A8" w:rsidP="008C622A">
      <w:pPr>
        <w:spacing w:after="0" w:line="240" w:lineRule="auto"/>
        <w:rPr>
          <w:rFonts w:ascii="Arial" w:hAnsi="Arial" w:cs="Arial"/>
          <w:sz w:val="24"/>
          <w:szCs w:val="24"/>
        </w:rPr>
      </w:pPr>
    </w:p>
    <w:p w14:paraId="4C5F7A5D" w14:textId="77777777" w:rsidR="008C622A" w:rsidRDefault="008C622A" w:rsidP="008C622A">
      <w:pPr>
        <w:pStyle w:val="Style1"/>
      </w:pPr>
      <w:r>
        <w:t>Course Schedule</w:t>
      </w:r>
    </w:p>
    <w:p w14:paraId="05E610C3" w14:textId="77777777" w:rsidR="008C622A" w:rsidRDefault="008C622A" w:rsidP="008C622A">
      <w:pPr>
        <w:spacing w:after="0" w:line="240" w:lineRule="auto"/>
        <w:rPr>
          <w:rFonts w:ascii="Arial" w:hAnsi="Arial" w:cs="Arial"/>
          <w:sz w:val="24"/>
          <w:szCs w:val="24"/>
        </w:rPr>
      </w:pPr>
    </w:p>
    <w:p w14:paraId="661DCD8C" w14:textId="19610FD8" w:rsidR="008C622A" w:rsidRPr="00757588" w:rsidRDefault="008C622A" w:rsidP="008C622A">
      <w:pPr>
        <w:pStyle w:val="Title"/>
        <w:rPr>
          <w:bCs/>
          <w:sz w:val="30"/>
          <w:szCs w:val="30"/>
        </w:rPr>
      </w:pPr>
      <w:r>
        <w:rPr>
          <w:bCs/>
          <w:sz w:val="30"/>
          <w:szCs w:val="30"/>
        </w:rPr>
        <w:t xml:space="preserve">MBA </w:t>
      </w:r>
      <w:r w:rsidR="004608A8">
        <w:rPr>
          <w:bCs/>
          <w:sz w:val="30"/>
          <w:szCs w:val="30"/>
        </w:rPr>
        <w:t>F718</w:t>
      </w:r>
    </w:p>
    <w:p w14:paraId="778C5618" w14:textId="77777777" w:rsidR="004608A8" w:rsidRPr="00757588" w:rsidRDefault="004608A8" w:rsidP="004608A8">
      <w:pPr>
        <w:pStyle w:val="Title"/>
        <w:rPr>
          <w:bCs/>
          <w:sz w:val="30"/>
          <w:szCs w:val="30"/>
        </w:rPr>
      </w:pPr>
      <w:r>
        <w:rPr>
          <w:bCs/>
          <w:sz w:val="30"/>
          <w:szCs w:val="30"/>
        </w:rPr>
        <w:t>The History of Finance</w:t>
      </w:r>
    </w:p>
    <w:p w14:paraId="5DCFD5A5" w14:textId="77777777" w:rsidR="004608A8" w:rsidRDefault="004608A8" w:rsidP="004608A8">
      <w:pPr>
        <w:pStyle w:val="Title"/>
        <w:rPr>
          <w:bCs/>
          <w:sz w:val="30"/>
          <w:szCs w:val="30"/>
        </w:rPr>
      </w:pPr>
      <w:r>
        <w:rPr>
          <w:bCs/>
          <w:sz w:val="30"/>
          <w:szCs w:val="30"/>
        </w:rPr>
        <w:t>Winter 2021</w:t>
      </w:r>
      <w:r w:rsidRPr="00757588">
        <w:rPr>
          <w:bCs/>
          <w:sz w:val="30"/>
          <w:szCs w:val="30"/>
        </w:rPr>
        <w:t xml:space="preserve"> Course Schedule</w:t>
      </w:r>
    </w:p>
    <w:p w14:paraId="09440FC2" w14:textId="77777777" w:rsidR="004608A8" w:rsidRPr="00757588" w:rsidRDefault="004608A8" w:rsidP="004608A8">
      <w:pPr>
        <w:pStyle w:val="Title"/>
        <w:rPr>
          <w:bCs/>
          <w:sz w:val="30"/>
          <w:szCs w:val="3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231"/>
        <w:gridCol w:w="1701"/>
      </w:tblGrid>
      <w:tr w:rsidR="004608A8" w:rsidRPr="00F27134" w14:paraId="177A7AD2" w14:textId="77777777" w:rsidTr="004608A8">
        <w:trPr>
          <w:jc w:val="center"/>
        </w:trPr>
        <w:tc>
          <w:tcPr>
            <w:tcW w:w="844" w:type="dxa"/>
            <w:shd w:val="clear" w:color="auto" w:fill="auto"/>
            <w:vAlign w:val="center"/>
          </w:tcPr>
          <w:p w14:paraId="131D3FC6" w14:textId="77777777" w:rsidR="004608A8" w:rsidRPr="00582844" w:rsidRDefault="004608A8" w:rsidP="00097082">
            <w:pPr>
              <w:pStyle w:val="Heading3"/>
              <w:keepNext w:val="0"/>
              <w:widowControl w:val="0"/>
              <w:jc w:val="center"/>
            </w:pPr>
            <w:r w:rsidRPr="00582844">
              <w:t>Week</w:t>
            </w:r>
          </w:p>
        </w:tc>
        <w:tc>
          <w:tcPr>
            <w:tcW w:w="7231" w:type="dxa"/>
            <w:tcBorders>
              <w:bottom w:val="single" w:sz="4" w:space="0" w:color="auto"/>
            </w:tcBorders>
            <w:shd w:val="clear" w:color="auto" w:fill="auto"/>
            <w:vAlign w:val="center"/>
          </w:tcPr>
          <w:p w14:paraId="64244E8B" w14:textId="77777777" w:rsidR="004608A8" w:rsidRPr="00582844" w:rsidRDefault="004608A8" w:rsidP="00097082">
            <w:pPr>
              <w:pStyle w:val="Heading3"/>
              <w:keepNext w:val="0"/>
              <w:widowControl w:val="0"/>
              <w:jc w:val="center"/>
            </w:pPr>
            <w:r>
              <w:t>Topics</w:t>
            </w:r>
          </w:p>
        </w:tc>
        <w:tc>
          <w:tcPr>
            <w:tcW w:w="1701" w:type="dxa"/>
            <w:shd w:val="clear" w:color="auto" w:fill="auto"/>
            <w:vAlign w:val="center"/>
          </w:tcPr>
          <w:p w14:paraId="5FE60C80" w14:textId="77777777" w:rsidR="004608A8" w:rsidRPr="00F27134" w:rsidRDefault="004608A8" w:rsidP="00097082">
            <w:pPr>
              <w:pStyle w:val="Heading3"/>
              <w:keepNext w:val="0"/>
              <w:widowControl w:val="0"/>
              <w:jc w:val="center"/>
            </w:pPr>
            <w:r>
              <w:t>Deliverables</w:t>
            </w:r>
          </w:p>
        </w:tc>
      </w:tr>
      <w:tr w:rsidR="004608A8" w:rsidRPr="00F27134" w14:paraId="2C7B9D6D" w14:textId="77777777" w:rsidTr="004608A8">
        <w:trPr>
          <w:trHeight w:val="632"/>
          <w:jc w:val="center"/>
        </w:trPr>
        <w:tc>
          <w:tcPr>
            <w:tcW w:w="844" w:type="dxa"/>
            <w:shd w:val="clear" w:color="auto" w:fill="auto"/>
            <w:vAlign w:val="center"/>
          </w:tcPr>
          <w:p w14:paraId="50C6887B" w14:textId="77777777" w:rsidR="004608A8" w:rsidRPr="00F27134" w:rsidRDefault="004608A8" w:rsidP="00097082">
            <w:pPr>
              <w:widowControl w:val="0"/>
              <w:spacing w:after="0"/>
              <w:jc w:val="center"/>
            </w:pPr>
            <w:r w:rsidRPr="00F27134">
              <w:t>1</w:t>
            </w:r>
          </w:p>
        </w:tc>
        <w:tc>
          <w:tcPr>
            <w:tcW w:w="7231" w:type="dxa"/>
            <w:shd w:val="clear" w:color="auto" w:fill="auto"/>
            <w:vAlign w:val="center"/>
          </w:tcPr>
          <w:p w14:paraId="6B6EA761" w14:textId="77777777" w:rsidR="004608A8" w:rsidRPr="001E57F0" w:rsidRDefault="004608A8" w:rsidP="00097082">
            <w:pPr>
              <w:spacing w:after="0"/>
              <w:jc w:val="center"/>
            </w:pPr>
            <w:r>
              <w:t>Course Introduction: why study history, institutions, institutional design</w:t>
            </w:r>
          </w:p>
        </w:tc>
        <w:tc>
          <w:tcPr>
            <w:tcW w:w="1701" w:type="dxa"/>
            <w:shd w:val="clear" w:color="auto" w:fill="auto"/>
            <w:vAlign w:val="center"/>
          </w:tcPr>
          <w:p w14:paraId="0F182622" w14:textId="77777777" w:rsidR="004608A8" w:rsidRPr="001E57F0" w:rsidRDefault="004608A8" w:rsidP="00097082">
            <w:pPr>
              <w:spacing w:after="0"/>
              <w:jc w:val="center"/>
            </w:pPr>
          </w:p>
        </w:tc>
      </w:tr>
      <w:tr w:rsidR="004608A8" w:rsidRPr="00F27134" w14:paraId="6EC9927C" w14:textId="77777777" w:rsidTr="004608A8">
        <w:trPr>
          <w:trHeight w:val="590"/>
          <w:jc w:val="center"/>
        </w:trPr>
        <w:tc>
          <w:tcPr>
            <w:tcW w:w="844" w:type="dxa"/>
            <w:shd w:val="clear" w:color="auto" w:fill="auto"/>
            <w:vAlign w:val="center"/>
          </w:tcPr>
          <w:p w14:paraId="1D53257B" w14:textId="77777777" w:rsidR="004608A8" w:rsidRPr="00F27134" w:rsidRDefault="004608A8" w:rsidP="00097082">
            <w:pPr>
              <w:widowControl w:val="0"/>
              <w:spacing w:after="0"/>
              <w:jc w:val="center"/>
            </w:pPr>
            <w:r w:rsidRPr="00F27134">
              <w:t>2</w:t>
            </w:r>
          </w:p>
        </w:tc>
        <w:tc>
          <w:tcPr>
            <w:tcW w:w="7231" w:type="dxa"/>
            <w:shd w:val="clear" w:color="auto" w:fill="auto"/>
            <w:vAlign w:val="center"/>
          </w:tcPr>
          <w:p w14:paraId="19D1B315" w14:textId="77777777" w:rsidR="004608A8" w:rsidRPr="001E57F0" w:rsidRDefault="004608A8" w:rsidP="00097082">
            <w:pPr>
              <w:spacing w:after="0"/>
              <w:jc w:val="center"/>
            </w:pPr>
            <w:r>
              <w:t>Payment Systems: gifts, barter, ledgers, currency, fiat currency, digital money</w:t>
            </w:r>
          </w:p>
        </w:tc>
        <w:tc>
          <w:tcPr>
            <w:tcW w:w="1701" w:type="dxa"/>
            <w:shd w:val="clear" w:color="auto" w:fill="auto"/>
            <w:vAlign w:val="center"/>
          </w:tcPr>
          <w:p w14:paraId="1CCFE67A" w14:textId="77777777" w:rsidR="004608A8" w:rsidRPr="001E57F0" w:rsidRDefault="004608A8" w:rsidP="00097082">
            <w:pPr>
              <w:widowControl w:val="0"/>
              <w:spacing w:after="0"/>
              <w:jc w:val="center"/>
            </w:pPr>
          </w:p>
        </w:tc>
      </w:tr>
      <w:tr w:rsidR="004608A8" w:rsidRPr="00F27134" w14:paraId="463D4CD4" w14:textId="77777777" w:rsidTr="004608A8">
        <w:trPr>
          <w:trHeight w:val="590"/>
          <w:jc w:val="center"/>
        </w:trPr>
        <w:tc>
          <w:tcPr>
            <w:tcW w:w="844" w:type="dxa"/>
            <w:shd w:val="clear" w:color="auto" w:fill="auto"/>
            <w:vAlign w:val="center"/>
          </w:tcPr>
          <w:p w14:paraId="460599C8" w14:textId="77777777" w:rsidR="004608A8" w:rsidRPr="00F27134" w:rsidRDefault="004608A8" w:rsidP="00097082">
            <w:pPr>
              <w:widowControl w:val="0"/>
              <w:spacing w:after="0"/>
              <w:jc w:val="center"/>
            </w:pPr>
            <w:r>
              <w:t>3</w:t>
            </w:r>
          </w:p>
        </w:tc>
        <w:tc>
          <w:tcPr>
            <w:tcW w:w="7231" w:type="dxa"/>
            <w:shd w:val="clear" w:color="auto" w:fill="auto"/>
            <w:vAlign w:val="center"/>
          </w:tcPr>
          <w:p w14:paraId="5FE95583" w14:textId="77777777" w:rsidR="004608A8" w:rsidRPr="001E57F0" w:rsidRDefault="004608A8" w:rsidP="00097082">
            <w:pPr>
              <w:widowControl w:val="0"/>
              <w:spacing w:after="0"/>
              <w:jc w:val="center"/>
            </w:pPr>
            <w:r>
              <w:t>Debt: risks and safeguards, debt as money, bonds, peer-to-peer lending</w:t>
            </w:r>
          </w:p>
        </w:tc>
        <w:tc>
          <w:tcPr>
            <w:tcW w:w="1701" w:type="dxa"/>
            <w:shd w:val="clear" w:color="auto" w:fill="auto"/>
            <w:vAlign w:val="center"/>
          </w:tcPr>
          <w:p w14:paraId="158263DA" w14:textId="726EB75E" w:rsidR="004608A8" w:rsidRPr="001E57F0" w:rsidRDefault="004608A8" w:rsidP="00097082">
            <w:pPr>
              <w:widowControl w:val="0"/>
              <w:spacing w:after="0"/>
              <w:jc w:val="center"/>
            </w:pPr>
          </w:p>
        </w:tc>
      </w:tr>
      <w:tr w:rsidR="004608A8" w:rsidRPr="00F27134" w14:paraId="433C2E94" w14:textId="77777777" w:rsidTr="004608A8">
        <w:trPr>
          <w:trHeight w:val="590"/>
          <w:jc w:val="center"/>
        </w:trPr>
        <w:tc>
          <w:tcPr>
            <w:tcW w:w="844" w:type="dxa"/>
            <w:shd w:val="clear" w:color="auto" w:fill="auto"/>
            <w:vAlign w:val="center"/>
          </w:tcPr>
          <w:p w14:paraId="38B9486B" w14:textId="77777777" w:rsidR="004608A8" w:rsidRPr="00F27134" w:rsidRDefault="004608A8" w:rsidP="00097082">
            <w:pPr>
              <w:widowControl w:val="0"/>
              <w:spacing w:after="0"/>
              <w:jc w:val="center"/>
            </w:pPr>
            <w:r w:rsidRPr="00F27134">
              <w:t>4</w:t>
            </w:r>
          </w:p>
        </w:tc>
        <w:tc>
          <w:tcPr>
            <w:tcW w:w="7231" w:type="dxa"/>
            <w:shd w:val="clear" w:color="auto" w:fill="auto"/>
            <w:vAlign w:val="center"/>
          </w:tcPr>
          <w:p w14:paraId="371BFDD3" w14:textId="77777777" w:rsidR="004608A8" w:rsidRPr="001E57F0" w:rsidRDefault="004608A8" w:rsidP="00097082">
            <w:pPr>
              <w:widowControl w:val="0"/>
              <w:spacing w:after="0"/>
              <w:jc w:val="center"/>
            </w:pPr>
            <w:r>
              <w:t>Banking: risks, governance, history, credit unions, offshore, microfinance</w:t>
            </w:r>
          </w:p>
        </w:tc>
        <w:tc>
          <w:tcPr>
            <w:tcW w:w="1701" w:type="dxa"/>
            <w:shd w:val="clear" w:color="auto" w:fill="auto"/>
            <w:vAlign w:val="center"/>
          </w:tcPr>
          <w:p w14:paraId="47E55008" w14:textId="1C7D8584" w:rsidR="004608A8" w:rsidRPr="001E57F0" w:rsidRDefault="004E048C" w:rsidP="00097082">
            <w:pPr>
              <w:widowControl w:val="0"/>
              <w:spacing w:after="0"/>
              <w:jc w:val="center"/>
            </w:pPr>
            <w:r>
              <w:t>Case #1</w:t>
            </w:r>
            <w:proofErr w:type="gramStart"/>
            <w:r>
              <w:t xml:space="preserve">   (</w:t>
            </w:r>
            <w:proofErr w:type="gramEnd"/>
            <w:r>
              <w:t>10%)</w:t>
            </w:r>
          </w:p>
        </w:tc>
      </w:tr>
      <w:tr w:rsidR="004608A8" w14:paraId="3CE3B953" w14:textId="77777777" w:rsidTr="004608A8">
        <w:trPr>
          <w:trHeight w:val="590"/>
          <w:jc w:val="center"/>
        </w:trPr>
        <w:tc>
          <w:tcPr>
            <w:tcW w:w="844" w:type="dxa"/>
            <w:shd w:val="clear" w:color="auto" w:fill="auto"/>
            <w:vAlign w:val="center"/>
          </w:tcPr>
          <w:p w14:paraId="76D3BE47" w14:textId="77777777" w:rsidR="004608A8" w:rsidRPr="00F27134" w:rsidRDefault="004608A8" w:rsidP="00097082">
            <w:pPr>
              <w:widowControl w:val="0"/>
              <w:spacing w:after="0"/>
              <w:jc w:val="center"/>
            </w:pPr>
            <w:r w:rsidRPr="00F27134">
              <w:t>5</w:t>
            </w:r>
          </w:p>
        </w:tc>
        <w:tc>
          <w:tcPr>
            <w:tcW w:w="7231" w:type="dxa"/>
            <w:shd w:val="clear" w:color="auto" w:fill="auto"/>
            <w:vAlign w:val="center"/>
          </w:tcPr>
          <w:p w14:paraId="343793D1" w14:textId="77777777" w:rsidR="004608A8" w:rsidRPr="001E57F0" w:rsidRDefault="004608A8" w:rsidP="00097082">
            <w:pPr>
              <w:widowControl w:val="0"/>
              <w:spacing w:after="0"/>
              <w:jc w:val="center"/>
            </w:pPr>
            <w:r>
              <w:t>Central Banking: liquidity, monetary policy, independence, network centrals</w:t>
            </w:r>
          </w:p>
        </w:tc>
        <w:tc>
          <w:tcPr>
            <w:tcW w:w="1701" w:type="dxa"/>
            <w:shd w:val="clear" w:color="auto" w:fill="auto"/>
            <w:vAlign w:val="center"/>
          </w:tcPr>
          <w:p w14:paraId="532E93AA" w14:textId="77777777" w:rsidR="004608A8" w:rsidRPr="001E57F0" w:rsidRDefault="004608A8" w:rsidP="00097082">
            <w:pPr>
              <w:widowControl w:val="0"/>
              <w:spacing w:after="0"/>
              <w:jc w:val="center"/>
            </w:pPr>
          </w:p>
        </w:tc>
      </w:tr>
      <w:tr w:rsidR="004608A8" w14:paraId="7D44E755" w14:textId="77777777" w:rsidTr="004608A8">
        <w:trPr>
          <w:trHeight w:val="590"/>
          <w:jc w:val="center"/>
        </w:trPr>
        <w:tc>
          <w:tcPr>
            <w:tcW w:w="844" w:type="dxa"/>
            <w:shd w:val="clear" w:color="auto" w:fill="auto"/>
            <w:vAlign w:val="center"/>
          </w:tcPr>
          <w:p w14:paraId="07497375" w14:textId="77777777" w:rsidR="004608A8" w:rsidRPr="00F27134" w:rsidRDefault="004608A8" w:rsidP="00097082">
            <w:pPr>
              <w:widowControl w:val="0"/>
              <w:spacing w:after="0"/>
              <w:jc w:val="center"/>
            </w:pPr>
            <w:r>
              <w:t>6</w:t>
            </w:r>
          </w:p>
        </w:tc>
        <w:tc>
          <w:tcPr>
            <w:tcW w:w="7231" w:type="dxa"/>
            <w:shd w:val="clear" w:color="auto" w:fill="auto"/>
            <w:vAlign w:val="center"/>
          </w:tcPr>
          <w:p w14:paraId="27DEFBDD" w14:textId="77777777" w:rsidR="004608A8" w:rsidRPr="001E57F0" w:rsidRDefault="004608A8" w:rsidP="00097082">
            <w:pPr>
              <w:widowControl w:val="0"/>
              <w:spacing w:after="0"/>
              <w:jc w:val="center"/>
            </w:pPr>
            <w:r>
              <w:t xml:space="preserve">Companies </w:t>
            </w:r>
            <w:proofErr w:type="spellStart"/>
            <w:r>
              <w:t>pt</w:t>
            </w:r>
            <w:proofErr w:type="spellEnd"/>
            <w:r>
              <w:t xml:space="preserve"> 1: financing, monitoring, bankruptcy, family firms </w:t>
            </w:r>
          </w:p>
        </w:tc>
        <w:tc>
          <w:tcPr>
            <w:tcW w:w="1701" w:type="dxa"/>
            <w:shd w:val="clear" w:color="auto" w:fill="auto"/>
            <w:vAlign w:val="center"/>
          </w:tcPr>
          <w:p w14:paraId="30711525" w14:textId="77777777" w:rsidR="004608A8" w:rsidRPr="001E57F0" w:rsidRDefault="004608A8" w:rsidP="00097082">
            <w:pPr>
              <w:widowControl w:val="0"/>
              <w:spacing w:after="0"/>
              <w:jc w:val="center"/>
            </w:pPr>
            <w:r>
              <w:t>Case #2</w:t>
            </w:r>
            <w:proofErr w:type="gramStart"/>
            <w:r>
              <w:t xml:space="preserve">   (</w:t>
            </w:r>
            <w:proofErr w:type="gramEnd"/>
            <w:r>
              <w:t>10%)</w:t>
            </w:r>
          </w:p>
        </w:tc>
      </w:tr>
      <w:tr w:rsidR="004608A8" w:rsidRPr="00811962" w14:paraId="15005DFA" w14:textId="77777777" w:rsidTr="004608A8">
        <w:trPr>
          <w:trHeight w:val="567"/>
          <w:jc w:val="center"/>
        </w:trPr>
        <w:tc>
          <w:tcPr>
            <w:tcW w:w="844" w:type="dxa"/>
            <w:shd w:val="clear" w:color="auto" w:fill="auto"/>
            <w:vAlign w:val="center"/>
          </w:tcPr>
          <w:p w14:paraId="576B9F3D" w14:textId="77777777" w:rsidR="004608A8" w:rsidRPr="00F27134" w:rsidRDefault="004608A8" w:rsidP="00097082">
            <w:pPr>
              <w:widowControl w:val="0"/>
              <w:spacing w:after="0"/>
              <w:jc w:val="center"/>
            </w:pPr>
            <w:r>
              <w:t>7</w:t>
            </w:r>
          </w:p>
        </w:tc>
        <w:tc>
          <w:tcPr>
            <w:tcW w:w="7231" w:type="dxa"/>
            <w:shd w:val="clear" w:color="auto" w:fill="auto"/>
            <w:vAlign w:val="center"/>
          </w:tcPr>
          <w:p w14:paraId="56C8CEA3" w14:textId="77777777" w:rsidR="004608A8" w:rsidRPr="00DA0A51" w:rsidRDefault="004608A8" w:rsidP="00097082">
            <w:pPr>
              <w:widowControl w:val="0"/>
              <w:spacing w:after="0"/>
              <w:jc w:val="center"/>
            </w:pPr>
            <w:r>
              <w:t xml:space="preserve">Companies </w:t>
            </w:r>
            <w:proofErr w:type="spellStart"/>
            <w:r>
              <w:t>pt</w:t>
            </w:r>
            <w:proofErr w:type="spellEnd"/>
            <w:r>
              <w:t xml:space="preserve"> 2: public equity, operations at distance, governance, SOEs</w:t>
            </w:r>
          </w:p>
        </w:tc>
        <w:tc>
          <w:tcPr>
            <w:tcW w:w="1701" w:type="dxa"/>
            <w:shd w:val="clear" w:color="auto" w:fill="auto"/>
            <w:vAlign w:val="center"/>
          </w:tcPr>
          <w:p w14:paraId="70AC1722" w14:textId="77777777" w:rsidR="004608A8" w:rsidRPr="00811962" w:rsidRDefault="004608A8" w:rsidP="00097082">
            <w:pPr>
              <w:widowControl w:val="0"/>
              <w:spacing w:after="0"/>
              <w:jc w:val="center"/>
            </w:pPr>
          </w:p>
        </w:tc>
      </w:tr>
      <w:tr w:rsidR="004608A8" w:rsidRPr="00811962" w14:paraId="0B4ACD90" w14:textId="77777777" w:rsidTr="004608A8">
        <w:trPr>
          <w:trHeight w:val="567"/>
          <w:jc w:val="center"/>
        </w:trPr>
        <w:tc>
          <w:tcPr>
            <w:tcW w:w="844" w:type="dxa"/>
            <w:shd w:val="clear" w:color="auto" w:fill="auto"/>
            <w:vAlign w:val="center"/>
          </w:tcPr>
          <w:p w14:paraId="4A220594" w14:textId="77777777" w:rsidR="004608A8" w:rsidRPr="00F27134" w:rsidRDefault="004608A8" w:rsidP="00097082">
            <w:pPr>
              <w:widowControl w:val="0"/>
              <w:spacing w:after="0"/>
              <w:jc w:val="center"/>
            </w:pPr>
            <w:r>
              <w:t>8</w:t>
            </w:r>
          </w:p>
        </w:tc>
        <w:tc>
          <w:tcPr>
            <w:tcW w:w="7231" w:type="dxa"/>
            <w:shd w:val="clear" w:color="auto" w:fill="auto"/>
            <w:vAlign w:val="center"/>
          </w:tcPr>
          <w:p w14:paraId="163CDCBB" w14:textId="77777777" w:rsidR="004608A8" w:rsidRPr="00F27134" w:rsidRDefault="004608A8" w:rsidP="00097082">
            <w:pPr>
              <w:widowControl w:val="0"/>
              <w:spacing w:after="0"/>
              <w:jc w:val="center"/>
            </w:pPr>
            <w:r>
              <w:t xml:space="preserve">Stock Markets: economics of markets, margin trading, bubbles, regulation </w:t>
            </w:r>
          </w:p>
        </w:tc>
        <w:tc>
          <w:tcPr>
            <w:tcW w:w="1701" w:type="dxa"/>
            <w:shd w:val="clear" w:color="auto" w:fill="auto"/>
            <w:vAlign w:val="center"/>
          </w:tcPr>
          <w:p w14:paraId="37EC9CDE" w14:textId="77777777" w:rsidR="004608A8" w:rsidRPr="00811962" w:rsidRDefault="004608A8" w:rsidP="00097082">
            <w:pPr>
              <w:widowControl w:val="0"/>
              <w:spacing w:after="0"/>
              <w:jc w:val="center"/>
              <w:rPr>
                <w:bCs/>
                <w:szCs w:val="18"/>
              </w:rPr>
            </w:pPr>
            <w:r>
              <w:rPr>
                <w:bCs/>
                <w:szCs w:val="18"/>
              </w:rPr>
              <w:t>Midterm (20%)</w:t>
            </w:r>
          </w:p>
        </w:tc>
      </w:tr>
      <w:tr w:rsidR="004608A8" w:rsidRPr="00F27134" w14:paraId="45BE67E1" w14:textId="77777777" w:rsidTr="004608A8">
        <w:trPr>
          <w:trHeight w:val="567"/>
          <w:jc w:val="center"/>
        </w:trPr>
        <w:tc>
          <w:tcPr>
            <w:tcW w:w="844" w:type="dxa"/>
            <w:shd w:val="clear" w:color="auto" w:fill="auto"/>
            <w:vAlign w:val="center"/>
          </w:tcPr>
          <w:p w14:paraId="4FBCC9C7" w14:textId="77777777" w:rsidR="004608A8" w:rsidRPr="00F27134" w:rsidRDefault="004608A8" w:rsidP="00097082">
            <w:pPr>
              <w:widowControl w:val="0"/>
              <w:spacing w:after="0"/>
              <w:jc w:val="center"/>
            </w:pPr>
            <w:r>
              <w:t>9</w:t>
            </w:r>
          </w:p>
        </w:tc>
        <w:tc>
          <w:tcPr>
            <w:tcW w:w="7231" w:type="dxa"/>
            <w:shd w:val="clear" w:color="auto" w:fill="auto"/>
            <w:vAlign w:val="center"/>
          </w:tcPr>
          <w:p w14:paraId="1895C78A" w14:textId="77777777" w:rsidR="004608A8" w:rsidRPr="00F27134" w:rsidRDefault="004608A8" w:rsidP="00097082">
            <w:pPr>
              <w:widowControl w:val="0"/>
              <w:spacing w:after="0"/>
              <w:jc w:val="center"/>
            </w:pPr>
            <w:r>
              <w:t>Derivatives: conditional payoffs, forwards, futures, options, quant finance</w:t>
            </w:r>
          </w:p>
        </w:tc>
        <w:tc>
          <w:tcPr>
            <w:tcW w:w="1701" w:type="dxa"/>
            <w:shd w:val="clear" w:color="auto" w:fill="auto"/>
            <w:vAlign w:val="center"/>
          </w:tcPr>
          <w:p w14:paraId="4514B05B" w14:textId="77777777" w:rsidR="004608A8" w:rsidRPr="00F27134" w:rsidRDefault="004608A8" w:rsidP="00097082">
            <w:pPr>
              <w:widowControl w:val="0"/>
              <w:spacing w:after="0"/>
              <w:jc w:val="center"/>
            </w:pPr>
          </w:p>
        </w:tc>
      </w:tr>
      <w:tr w:rsidR="004608A8" w:rsidRPr="00DE33E0" w14:paraId="124362C0" w14:textId="77777777" w:rsidTr="004608A8">
        <w:trPr>
          <w:trHeight w:val="567"/>
          <w:jc w:val="center"/>
        </w:trPr>
        <w:tc>
          <w:tcPr>
            <w:tcW w:w="844" w:type="dxa"/>
            <w:shd w:val="clear" w:color="auto" w:fill="auto"/>
            <w:vAlign w:val="center"/>
          </w:tcPr>
          <w:p w14:paraId="34A3EDE4" w14:textId="77777777" w:rsidR="004608A8" w:rsidRPr="00F27134" w:rsidRDefault="004608A8" w:rsidP="00097082">
            <w:pPr>
              <w:widowControl w:val="0"/>
              <w:spacing w:after="0"/>
              <w:jc w:val="center"/>
            </w:pPr>
            <w:r w:rsidRPr="00F27134">
              <w:t>1</w:t>
            </w:r>
            <w:r>
              <w:t>0</w:t>
            </w:r>
          </w:p>
        </w:tc>
        <w:tc>
          <w:tcPr>
            <w:tcW w:w="7231" w:type="dxa"/>
            <w:shd w:val="clear" w:color="auto" w:fill="auto"/>
            <w:vAlign w:val="center"/>
          </w:tcPr>
          <w:p w14:paraId="0FEA24CA" w14:textId="77777777" w:rsidR="004608A8" w:rsidRPr="00F27134" w:rsidRDefault="004608A8" w:rsidP="00097082">
            <w:pPr>
              <w:widowControl w:val="0"/>
              <w:spacing w:after="0"/>
              <w:jc w:val="center"/>
            </w:pPr>
            <w:r>
              <w:t>Insurance: estimating risk, multi-line, actuarial science, specialty lines, failure</w:t>
            </w:r>
          </w:p>
        </w:tc>
        <w:tc>
          <w:tcPr>
            <w:tcW w:w="1701" w:type="dxa"/>
            <w:shd w:val="clear" w:color="auto" w:fill="auto"/>
            <w:vAlign w:val="center"/>
          </w:tcPr>
          <w:p w14:paraId="24920E82" w14:textId="77777777" w:rsidR="004608A8" w:rsidRPr="00DE33E0" w:rsidRDefault="004608A8" w:rsidP="00097082">
            <w:pPr>
              <w:widowControl w:val="0"/>
              <w:spacing w:after="0"/>
              <w:jc w:val="center"/>
              <w:rPr>
                <w:b/>
                <w:bCs/>
              </w:rPr>
            </w:pPr>
            <w:r>
              <w:t>Case #3</w:t>
            </w:r>
            <w:proofErr w:type="gramStart"/>
            <w:r>
              <w:t xml:space="preserve">   (</w:t>
            </w:r>
            <w:proofErr w:type="gramEnd"/>
            <w:r>
              <w:t>10%)</w:t>
            </w:r>
          </w:p>
        </w:tc>
      </w:tr>
      <w:tr w:rsidR="004608A8" w:rsidRPr="00F27134" w14:paraId="4C552C9E" w14:textId="77777777" w:rsidTr="004608A8">
        <w:trPr>
          <w:trHeight w:val="567"/>
          <w:jc w:val="center"/>
        </w:trPr>
        <w:tc>
          <w:tcPr>
            <w:tcW w:w="844" w:type="dxa"/>
            <w:shd w:val="clear" w:color="auto" w:fill="auto"/>
            <w:vAlign w:val="center"/>
          </w:tcPr>
          <w:p w14:paraId="3E302B34" w14:textId="77777777" w:rsidR="004608A8" w:rsidRPr="00F27134" w:rsidRDefault="004608A8" w:rsidP="00097082">
            <w:pPr>
              <w:widowControl w:val="0"/>
              <w:spacing w:after="0"/>
              <w:jc w:val="center"/>
            </w:pPr>
            <w:r w:rsidRPr="00F27134">
              <w:t>1</w:t>
            </w:r>
            <w:r>
              <w:t>1</w:t>
            </w:r>
          </w:p>
        </w:tc>
        <w:tc>
          <w:tcPr>
            <w:tcW w:w="7231" w:type="dxa"/>
            <w:shd w:val="clear" w:color="auto" w:fill="auto"/>
            <w:vAlign w:val="center"/>
          </w:tcPr>
          <w:p w14:paraId="58F6405B" w14:textId="77777777" w:rsidR="004608A8" w:rsidRPr="00F27134" w:rsidRDefault="004608A8" w:rsidP="00097082">
            <w:pPr>
              <w:widowControl w:val="0"/>
              <w:spacing w:after="0"/>
              <w:jc w:val="center"/>
            </w:pPr>
            <w:r>
              <w:t xml:space="preserve">Trusts: endowments, sovereign wealth funds, mutual funds, hedge funds </w:t>
            </w:r>
          </w:p>
        </w:tc>
        <w:tc>
          <w:tcPr>
            <w:tcW w:w="1701" w:type="dxa"/>
            <w:shd w:val="clear" w:color="auto" w:fill="auto"/>
            <w:vAlign w:val="center"/>
          </w:tcPr>
          <w:p w14:paraId="7A0FD46C" w14:textId="77777777" w:rsidR="004608A8" w:rsidRPr="00876B69" w:rsidRDefault="004608A8" w:rsidP="00097082">
            <w:pPr>
              <w:widowControl w:val="0"/>
              <w:spacing w:after="0"/>
              <w:jc w:val="center"/>
              <w:rPr>
                <w:highlight w:val="yellow"/>
              </w:rPr>
            </w:pPr>
          </w:p>
        </w:tc>
      </w:tr>
      <w:tr w:rsidR="004608A8" w:rsidRPr="00F27134" w14:paraId="046E8E4D" w14:textId="77777777" w:rsidTr="004608A8">
        <w:trPr>
          <w:trHeight w:val="567"/>
          <w:jc w:val="center"/>
        </w:trPr>
        <w:tc>
          <w:tcPr>
            <w:tcW w:w="844" w:type="dxa"/>
            <w:shd w:val="clear" w:color="auto" w:fill="auto"/>
            <w:vAlign w:val="center"/>
          </w:tcPr>
          <w:p w14:paraId="7A9D8D20" w14:textId="77777777" w:rsidR="004608A8" w:rsidRPr="00F27134" w:rsidRDefault="004608A8" w:rsidP="00097082">
            <w:pPr>
              <w:widowControl w:val="0"/>
              <w:spacing w:after="0"/>
              <w:jc w:val="center"/>
            </w:pPr>
            <w:r>
              <w:t>12</w:t>
            </w:r>
          </w:p>
        </w:tc>
        <w:tc>
          <w:tcPr>
            <w:tcW w:w="7231" w:type="dxa"/>
            <w:shd w:val="clear" w:color="auto" w:fill="auto"/>
            <w:vAlign w:val="center"/>
          </w:tcPr>
          <w:p w14:paraId="093BFBC4" w14:textId="77777777" w:rsidR="004608A8" w:rsidRDefault="004608A8" w:rsidP="00097082">
            <w:pPr>
              <w:widowControl w:val="0"/>
              <w:spacing w:after="0"/>
              <w:jc w:val="center"/>
            </w:pPr>
            <w:r>
              <w:t>Pensions: annuities, sponsors, funding, design principles, the Canada model</w:t>
            </w:r>
          </w:p>
        </w:tc>
        <w:tc>
          <w:tcPr>
            <w:tcW w:w="1701" w:type="dxa"/>
            <w:shd w:val="clear" w:color="auto" w:fill="auto"/>
            <w:vAlign w:val="center"/>
          </w:tcPr>
          <w:p w14:paraId="5D363A7C" w14:textId="77777777" w:rsidR="004608A8" w:rsidRPr="00F329CE" w:rsidRDefault="004608A8" w:rsidP="00097082">
            <w:pPr>
              <w:widowControl w:val="0"/>
              <w:spacing w:after="0"/>
              <w:jc w:val="center"/>
            </w:pPr>
          </w:p>
        </w:tc>
      </w:tr>
      <w:tr w:rsidR="004608A8" w:rsidRPr="00F27134" w14:paraId="2CBD7413" w14:textId="77777777" w:rsidTr="004608A8">
        <w:trPr>
          <w:trHeight w:val="567"/>
          <w:jc w:val="center"/>
        </w:trPr>
        <w:tc>
          <w:tcPr>
            <w:tcW w:w="844" w:type="dxa"/>
            <w:shd w:val="clear" w:color="auto" w:fill="auto"/>
            <w:vAlign w:val="center"/>
          </w:tcPr>
          <w:p w14:paraId="2055DEFD" w14:textId="77777777" w:rsidR="004608A8" w:rsidRPr="00F27134" w:rsidRDefault="004608A8" w:rsidP="00097082">
            <w:pPr>
              <w:widowControl w:val="0"/>
              <w:spacing w:after="0"/>
              <w:jc w:val="center"/>
            </w:pPr>
            <w:r>
              <w:t>13</w:t>
            </w:r>
          </w:p>
        </w:tc>
        <w:tc>
          <w:tcPr>
            <w:tcW w:w="7231" w:type="dxa"/>
            <w:shd w:val="clear" w:color="auto" w:fill="auto"/>
            <w:vAlign w:val="center"/>
          </w:tcPr>
          <w:p w14:paraId="19586089" w14:textId="313E2ECB" w:rsidR="004608A8" w:rsidRDefault="004608A8" w:rsidP="00097082">
            <w:pPr>
              <w:widowControl w:val="0"/>
              <w:spacing w:after="0"/>
              <w:jc w:val="center"/>
            </w:pPr>
            <w:r>
              <w:t>The State: political economy, market shaping, welfare state, demographics</w:t>
            </w:r>
          </w:p>
        </w:tc>
        <w:tc>
          <w:tcPr>
            <w:tcW w:w="1701" w:type="dxa"/>
            <w:shd w:val="clear" w:color="auto" w:fill="auto"/>
            <w:vAlign w:val="center"/>
          </w:tcPr>
          <w:p w14:paraId="6E7C2C54" w14:textId="77777777" w:rsidR="004608A8" w:rsidRPr="00F329CE" w:rsidRDefault="004608A8" w:rsidP="00097082">
            <w:pPr>
              <w:widowControl w:val="0"/>
              <w:spacing w:after="0"/>
              <w:jc w:val="center"/>
            </w:pPr>
            <w:r>
              <w:t>Group Project (30%)</w:t>
            </w:r>
          </w:p>
        </w:tc>
      </w:tr>
    </w:tbl>
    <w:p w14:paraId="5E8D4ED6" w14:textId="7B9D73E6" w:rsidR="008C622A" w:rsidRDefault="008C622A" w:rsidP="004608A8">
      <w:pPr>
        <w:pStyle w:val="Title"/>
        <w:rPr>
          <w:sz w:val="24"/>
          <w:szCs w:val="24"/>
        </w:rPr>
      </w:pPr>
    </w:p>
    <w:p w14:paraId="627441AD" w14:textId="21088542" w:rsidR="004608A8" w:rsidRDefault="004608A8" w:rsidP="004608A8">
      <w:pPr>
        <w:pStyle w:val="Title"/>
        <w:rPr>
          <w:sz w:val="24"/>
          <w:szCs w:val="24"/>
        </w:rPr>
      </w:pPr>
    </w:p>
    <w:p w14:paraId="5EECEEAB" w14:textId="428D1114" w:rsidR="004608A8" w:rsidRDefault="004608A8" w:rsidP="004608A8">
      <w:pPr>
        <w:pStyle w:val="Title"/>
        <w:rPr>
          <w:sz w:val="24"/>
          <w:szCs w:val="24"/>
        </w:rPr>
      </w:pPr>
    </w:p>
    <w:p w14:paraId="38D508E1" w14:textId="5FC266B2" w:rsidR="004608A8" w:rsidRDefault="004608A8" w:rsidP="004608A8">
      <w:pPr>
        <w:pStyle w:val="Title"/>
        <w:rPr>
          <w:sz w:val="24"/>
          <w:szCs w:val="24"/>
        </w:rPr>
      </w:pPr>
    </w:p>
    <w:p w14:paraId="3FEA9507" w14:textId="256409A2" w:rsidR="004608A8" w:rsidRDefault="004608A8" w:rsidP="004608A8">
      <w:pPr>
        <w:pStyle w:val="Title"/>
        <w:rPr>
          <w:sz w:val="24"/>
          <w:szCs w:val="24"/>
        </w:rPr>
      </w:pPr>
    </w:p>
    <w:p w14:paraId="09D24866" w14:textId="63301B8A" w:rsidR="004608A8" w:rsidRDefault="004608A8" w:rsidP="004608A8">
      <w:pPr>
        <w:pStyle w:val="Title"/>
        <w:rPr>
          <w:sz w:val="24"/>
          <w:szCs w:val="24"/>
        </w:rPr>
      </w:pPr>
    </w:p>
    <w:p w14:paraId="7A1000C6" w14:textId="77777777" w:rsidR="004608A8" w:rsidRDefault="004608A8" w:rsidP="004608A8">
      <w:pPr>
        <w:spacing w:after="0" w:line="240" w:lineRule="auto"/>
        <w:rPr>
          <w:rFonts w:ascii="Arial" w:hAnsi="Arial" w:cs="Arial"/>
          <w:sz w:val="24"/>
          <w:szCs w:val="24"/>
        </w:rPr>
      </w:pPr>
    </w:p>
    <w:p w14:paraId="52FA99EC" w14:textId="77777777" w:rsidR="004608A8" w:rsidRDefault="004608A8" w:rsidP="004608A8">
      <w:pPr>
        <w:spacing w:after="0" w:line="240" w:lineRule="auto"/>
        <w:rPr>
          <w:rFonts w:ascii="Arial" w:hAnsi="Arial" w:cs="Arial"/>
          <w:sz w:val="24"/>
          <w:szCs w:val="24"/>
        </w:rPr>
      </w:pPr>
    </w:p>
    <w:p w14:paraId="72EFE572" w14:textId="77777777" w:rsidR="004608A8" w:rsidRDefault="004608A8" w:rsidP="004608A8">
      <w:pPr>
        <w:pStyle w:val="Style1"/>
      </w:pPr>
      <w:r>
        <w:t>Reading List (by Topic)</w:t>
      </w:r>
    </w:p>
    <w:p w14:paraId="78424A23" w14:textId="77777777" w:rsidR="004608A8" w:rsidRDefault="004608A8" w:rsidP="004608A8">
      <w:pPr>
        <w:tabs>
          <w:tab w:val="left" w:pos="3720"/>
        </w:tabs>
        <w:rPr>
          <w:sz w:val="24"/>
        </w:rPr>
      </w:pPr>
    </w:p>
    <w:p w14:paraId="22230725" w14:textId="77777777" w:rsidR="004608A8" w:rsidRDefault="004608A8" w:rsidP="004608A8">
      <w:pPr>
        <w:tabs>
          <w:tab w:val="left" w:pos="3720"/>
        </w:tabs>
        <w:rPr>
          <w:b/>
          <w:bCs/>
          <w:i/>
          <w:iCs/>
          <w:sz w:val="24"/>
        </w:rPr>
      </w:pPr>
      <w:r>
        <w:rPr>
          <w:b/>
          <w:bCs/>
          <w:i/>
          <w:iCs/>
          <w:sz w:val="24"/>
        </w:rPr>
        <w:t xml:space="preserve">The book is best read in full, in order but in this </w:t>
      </w:r>
      <w:proofErr w:type="gramStart"/>
      <w:r>
        <w:rPr>
          <w:b/>
          <w:bCs/>
          <w:i/>
          <w:iCs/>
          <w:sz w:val="24"/>
        </w:rPr>
        <w:t>course</w:t>
      </w:r>
      <w:proofErr w:type="gramEnd"/>
      <w:r>
        <w:rPr>
          <w:b/>
          <w:bCs/>
          <w:i/>
          <w:iCs/>
          <w:sz w:val="24"/>
        </w:rPr>
        <w:t xml:space="preserve"> we explore the material by “tool” rather than chronologically.  The page by page breakdown facilitates focused reading but the narrative is weakened by this approach.</w:t>
      </w:r>
    </w:p>
    <w:p w14:paraId="34D5D59B" w14:textId="77777777" w:rsidR="004608A8" w:rsidRPr="006759D2" w:rsidRDefault="004608A8" w:rsidP="004608A8">
      <w:pPr>
        <w:tabs>
          <w:tab w:val="left" w:pos="3720"/>
        </w:tabs>
        <w:rPr>
          <w:b/>
          <w:bCs/>
          <w:i/>
          <w:iCs/>
          <w:sz w:val="24"/>
          <w:u w:val="single"/>
        </w:rPr>
      </w:pPr>
    </w:p>
    <w:p w14:paraId="0A7079DF" w14:textId="77777777" w:rsidR="004608A8" w:rsidRPr="006759D2" w:rsidRDefault="004608A8" w:rsidP="004608A8">
      <w:pPr>
        <w:tabs>
          <w:tab w:val="left" w:pos="3720"/>
        </w:tabs>
        <w:rPr>
          <w:b/>
          <w:bCs/>
          <w:i/>
          <w:iCs/>
          <w:sz w:val="24"/>
          <w:u w:val="single"/>
        </w:rPr>
      </w:pPr>
      <w:r w:rsidRPr="006759D2">
        <w:rPr>
          <w:b/>
          <w:bCs/>
          <w:i/>
          <w:iCs/>
          <w:sz w:val="24"/>
          <w:u w:val="single"/>
        </w:rPr>
        <w:t>You should try to read the entire book</w:t>
      </w:r>
      <w:r>
        <w:rPr>
          <w:b/>
          <w:bCs/>
          <w:i/>
          <w:iCs/>
          <w:sz w:val="24"/>
          <w:u w:val="single"/>
        </w:rPr>
        <w:t>,</w:t>
      </w:r>
      <w:r w:rsidRPr="006759D2">
        <w:rPr>
          <w:b/>
          <w:bCs/>
          <w:i/>
          <w:iCs/>
          <w:sz w:val="24"/>
          <w:u w:val="single"/>
        </w:rPr>
        <w:t xml:space="preserve"> </w:t>
      </w:r>
      <w:r>
        <w:rPr>
          <w:b/>
          <w:bCs/>
          <w:i/>
          <w:iCs/>
          <w:sz w:val="24"/>
          <w:u w:val="single"/>
        </w:rPr>
        <w:t xml:space="preserve">in order as written, </w:t>
      </w:r>
      <w:r w:rsidRPr="006759D2">
        <w:rPr>
          <w:b/>
          <w:bCs/>
          <w:i/>
          <w:iCs/>
          <w:sz w:val="24"/>
          <w:u w:val="single"/>
        </w:rPr>
        <w:t>within the first 6 weeks of the course.</w:t>
      </w:r>
    </w:p>
    <w:p w14:paraId="18001C55" w14:textId="77777777" w:rsidR="004608A8" w:rsidRDefault="004608A8" w:rsidP="004608A8">
      <w:pPr>
        <w:tabs>
          <w:tab w:val="left" w:pos="3720"/>
        </w:tabs>
        <w:rPr>
          <w:sz w:val="24"/>
        </w:rPr>
      </w:pPr>
    </w:p>
    <w:p w14:paraId="574BA4D2" w14:textId="77777777" w:rsidR="004608A8" w:rsidRDefault="004608A8" w:rsidP="004608A8">
      <w:pPr>
        <w:spacing w:after="0"/>
        <w:rPr>
          <w:rFonts w:ascii="Arial" w:hAnsi="Arial"/>
        </w:rPr>
      </w:pPr>
      <w:r w:rsidRPr="0094689A">
        <w:rPr>
          <w:rFonts w:ascii="Arial" w:hAnsi="Arial"/>
          <w:b/>
        </w:rPr>
        <w:t>INTRODUCTION:</w:t>
      </w:r>
      <w:r>
        <w:rPr>
          <w:rFonts w:ascii="Arial" w:hAnsi="Arial"/>
        </w:rPr>
        <w:t xml:space="preserve"> 1-14, 137-141, 194-202, 398-404, 519-521</w:t>
      </w:r>
    </w:p>
    <w:p w14:paraId="0BFEF21F" w14:textId="77777777" w:rsidR="004608A8" w:rsidRDefault="004608A8" w:rsidP="004608A8">
      <w:pPr>
        <w:spacing w:after="0"/>
        <w:rPr>
          <w:rFonts w:ascii="Arial" w:hAnsi="Arial"/>
        </w:rPr>
      </w:pPr>
    </w:p>
    <w:p w14:paraId="4E9B3CF8" w14:textId="77777777" w:rsidR="004608A8" w:rsidRDefault="004608A8" w:rsidP="004608A8">
      <w:pPr>
        <w:spacing w:after="0"/>
        <w:rPr>
          <w:rFonts w:ascii="Arial" w:hAnsi="Arial"/>
        </w:rPr>
      </w:pPr>
      <w:r w:rsidRPr="0094689A">
        <w:rPr>
          <w:rFonts w:ascii="Arial" w:hAnsi="Arial"/>
          <w:b/>
        </w:rPr>
        <w:t>PAYMENTS SYSTEMS:</w:t>
      </w:r>
      <w:r>
        <w:rPr>
          <w:rFonts w:ascii="Arial" w:hAnsi="Arial"/>
        </w:rPr>
        <w:t xml:space="preserve"> 15-30, 92-102, 127-136, 143-151, 180-189, 191-193</w:t>
      </w:r>
    </w:p>
    <w:p w14:paraId="347EC84B" w14:textId="77777777" w:rsidR="004608A8" w:rsidRDefault="004608A8" w:rsidP="004608A8">
      <w:pPr>
        <w:spacing w:after="0"/>
        <w:rPr>
          <w:rFonts w:ascii="Arial" w:hAnsi="Arial"/>
        </w:rPr>
      </w:pPr>
    </w:p>
    <w:p w14:paraId="7ED6A2AF" w14:textId="77777777" w:rsidR="004608A8" w:rsidRDefault="004608A8" w:rsidP="004608A8">
      <w:pPr>
        <w:spacing w:after="0"/>
        <w:rPr>
          <w:rFonts w:ascii="Arial" w:hAnsi="Arial"/>
        </w:rPr>
      </w:pPr>
      <w:r w:rsidRPr="0094689A">
        <w:rPr>
          <w:rFonts w:ascii="Arial" w:hAnsi="Arial"/>
          <w:b/>
        </w:rPr>
        <w:t>DEBT</w:t>
      </w:r>
      <w:r>
        <w:rPr>
          <w:rFonts w:ascii="Arial" w:hAnsi="Arial"/>
          <w:b/>
        </w:rPr>
        <w:t>:</w:t>
      </w:r>
      <w:r w:rsidRPr="006759D2">
        <w:rPr>
          <w:rFonts w:ascii="Arial" w:hAnsi="Arial"/>
        </w:rPr>
        <w:t xml:space="preserve"> </w:t>
      </w:r>
      <w:r>
        <w:rPr>
          <w:rFonts w:ascii="Arial" w:hAnsi="Arial"/>
        </w:rPr>
        <w:t>31-40, 46-53, 57-58, 65-68, 161-166, 174-179, 227-237, 249-254, 417-422, 448-451</w:t>
      </w:r>
    </w:p>
    <w:p w14:paraId="0B2C11AF" w14:textId="77777777" w:rsidR="004608A8" w:rsidRDefault="004608A8" w:rsidP="004608A8">
      <w:pPr>
        <w:spacing w:after="0"/>
        <w:rPr>
          <w:rFonts w:ascii="Arial" w:hAnsi="Arial"/>
          <w:b/>
        </w:rPr>
      </w:pPr>
    </w:p>
    <w:p w14:paraId="34AF0EA9" w14:textId="77777777" w:rsidR="004608A8" w:rsidRDefault="004608A8" w:rsidP="004608A8">
      <w:pPr>
        <w:spacing w:after="0"/>
        <w:rPr>
          <w:rFonts w:ascii="Arial" w:hAnsi="Arial"/>
        </w:rPr>
      </w:pPr>
      <w:r w:rsidRPr="0094689A">
        <w:rPr>
          <w:rFonts w:ascii="Arial" w:hAnsi="Arial"/>
          <w:b/>
        </w:rPr>
        <w:t>BANKING:</w:t>
      </w:r>
      <w:r>
        <w:rPr>
          <w:rFonts w:ascii="Arial" w:hAnsi="Arial"/>
        </w:rPr>
        <w:t xml:space="preserve"> 40-45, 81-87, 110-118, 207-220, 289-293</w:t>
      </w:r>
    </w:p>
    <w:p w14:paraId="3AD24A0D" w14:textId="77777777" w:rsidR="004608A8" w:rsidRDefault="004608A8" w:rsidP="004608A8">
      <w:pPr>
        <w:spacing w:after="0"/>
        <w:rPr>
          <w:rFonts w:ascii="Arial" w:hAnsi="Arial"/>
        </w:rPr>
      </w:pPr>
    </w:p>
    <w:p w14:paraId="306FBAB4" w14:textId="77777777" w:rsidR="004608A8" w:rsidRDefault="004608A8" w:rsidP="004608A8">
      <w:pPr>
        <w:spacing w:after="0"/>
        <w:rPr>
          <w:rFonts w:ascii="Arial" w:hAnsi="Arial"/>
        </w:rPr>
      </w:pPr>
      <w:r w:rsidRPr="0094689A">
        <w:rPr>
          <w:rFonts w:ascii="Arial" w:hAnsi="Arial"/>
          <w:b/>
        </w:rPr>
        <w:t>CENTRAL BANKING:</w:t>
      </w:r>
      <w:r>
        <w:rPr>
          <w:rFonts w:ascii="Arial" w:hAnsi="Arial"/>
        </w:rPr>
        <w:t xml:space="preserve"> 42-43, 103-109, 152-161, 189-191, 351-354, 386-388, 460-463, 465-466</w:t>
      </w:r>
    </w:p>
    <w:p w14:paraId="495A4709" w14:textId="77777777" w:rsidR="004608A8" w:rsidRDefault="004608A8" w:rsidP="004608A8">
      <w:pPr>
        <w:spacing w:after="0"/>
        <w:rPr>
          <w:rFonts w:ascii="Arial" w:hAnsi="Arial"/>
        </w:rPr>
      </w:pPr>
    </w:p>
    <w:p w14:paraId="2763EE3A" w14:textId="77777777" w:rsidR="004608A8" w:rsidRDefault="004608A8" w:rsidP="004608A8">
      <w:pPr>
        <w:spacing w:after="0"/>
        <w:rPr>
          <w:rFonts w:ascii="Arial" w:hAnsi="Arial"/>
        </w:rPr>
      </w:pPr>
      <w:r w:rsidRPr="0094689A">
        <w:rPr>
          <w:rFonts w:ascii="Arial" w:hAnsi="Arial"/>
          <w:b/>
        </w:rPr>
        <w:t>C</w:t>
      </w:r>
      <w:r>
        <w:rPr>
          <w:rFonts w:ascii="Arial" w:hAnsi="Arial"/>
          <w:b/>
        </w:rPr>
        <w:t>OMPANIE</w:t>
      </w:r>
      <w:r w:rsidRPr="0094689A">
        <w:rPr>
          <w:rFonts w:ascii="Arial" w:hAnsi="Arial"/>
          <w:b/>
        </w:rPr>
        <w:t>S:</w:t>
      </w:r>
      <w:r>
        <w:rPr>
          <w:rFonts w:ascii="Arial" w:hAnsi="Arial"/>
        </w:rPr>
        <w:t xml:space="preserve"> 53-55, 59-64, 87-91, 119-127, 238-248, 289-319, 430-434, 470-474</w:t>
      </w:r>
    </w:p>
    <w:p w14:paraId="3FB6E543" w14:textId="77777777" w:rsidR="004608A8" w:rsidRDefault="004608A8" w:rsidP="004608A8">
      <w:pPr>
        <w:spacing w:after="0"/>
        <w:rPr>
          <w:rFonts w:ascii="Arial" w:hAnsi="Arial"/>
        </w:rPr>
      </w:pPr>
    </w:p>
    <w:p w14:paraId="66860C09" w14:textId="77777777" w:rsidR="004608A8" w:rsidRDefault="004608A8" w:rsidP="004608A8">
      <w:pPr>
        <w:spacing w:after="0"/>
        <w:rPr>
          <w:rFonts w:ascii="Arial" w:hAnsi="Arial"/>
        </w:rPr>
      </w:pPr>
      <w:r w:rsidRPr="0094689A">
        <w:rPr>
          <w:rFonts w:ascii="Arial" w:hAnsi="Arial"/>
          <w:b/>
        </w:rPr>
        <w:t>STOCK MARKETS:</w:t>
      </w:r>
      <w:r>
        <w:rPr>
          <w:rFonts w:ascii="Arial" w:hAnsi="Arial"/>
        </w:rPr>
        <w:t xml:space="preserve"> 284-288, 316-381, 405-415, 438-446, 467-470, 482-492</w:t>
      </w:r>
    </w:p>
    <w:p w14:paraId="3F88A729" w14:textId="77777777" w:rsidR="004608A8" w:rsidRDefault="004608A8" w:rsidP="004608A8">
      <w:pPr>
        <w:spacing w:after="0"/>
        <w:rPr>
          <w:rFonts w:ascii="Arial" w:hAnsi="Arial"/>
        </w:rPr>
      </w:pPr>
    </w:p>
    <w:p w14:paraId="7881AD54" w14:textId="77777777" w:rsidR="004608A8" w:rsidRDefault="004608A8" w:rsidP="004608A8">
      <w:pPr>
        <w:spacing w:after="0"/>
        <w:rPr>
          <w:rFonts w:ascii="Arial" w:hAnsi="Arial"/>
          <w:b/>
        </w:rPr>
      </w:pPr>
      <w:r w:rsidRPr="0094689A">
        <w:rPr>
          <w:rFonts w:ascii="Arial" w:hAnsi="Arial"/>
          <w:b/>
        </w:rPr>
        <w:t>DERIVATIVES</w:t>
      </w:r>
      <w:r>
        <w:rPr>
          <w:rFonts w:ascii="Arial" w:hAnsi="Arial"/>
          <w:b/>
        </w:rPr>
        <w:t xml:space="preserve">: </w:t>
      </w:r>
      <w:r w:rsidRPr="00265CC8">
        <w:rPr>
          <w:rFonts w:ascii="Arial" w:hAnsi="Arial"/>
          <w:bCs/>
        </w:rPr>
        <w:t>68-72</w:t>
      </w:r>
      <w:r>
        <w:rPr>
          <w:rFonts w:ascii="Arial" w:hAnsi="Arial"/>
          <w:bCs/>
        </w:rPr>
        <w:t xml:space="preserve">, 185-186, </w:t>
      </w:r>
      <w:r>
        <w:rPr>
          <w:rFonts w:ascii="Arial" w:hAnsi="Arial"/>
        </w:rPr>
        <w:t>276-288</w:t>
      </w:r>
    </w:p>
    <w:p w14:paraId="21E35CC3" w14:textId="77777777" w:rsidR="004608A8" w:rsidRDefault="004608A8" w:rsidP="004608A8">
      <w:pPr>
        <w:spacing w:after="0"/>
        <w:rPr>
          <w:rFonts w:ascii="Arial" w:hAnsi="Arial"/>
          <w:b/>
        </w:rPr>
      </w:pPr>
    </w:p>
    <w:p w14:paraId="2A6A7863" w14:textId="77777777" w:rsidR="004608A8" w:rsidRDefault="004608A8" w:rsidP="004608A8">
      <w:pPr>
        <w:spacing w:after="0"/>
        <w:rPr>
          <w:rFonts w:ascii="Arial" w:hAnsi="Arial"/>
        </w:rPr>
      </w:pPr>
      <w:r w:rsidRPr="0094689A">
        <w:rPr>
          <w:rFonts w:ascii="Arial" w:hAnsi="Arial"/>
          <w:b/>
        </w:rPr>
        <w:t>INSURANCE:</w:t>
      </w:r>
      <w:r>
        <w:rPr>
          <w:rFonts w:ascii="Arial" w:hAnsi="Arial"/>
        </w:rPr>
        <w:t xml:space="preserve"> 77-81, 363-375</w:t>
      </w:r>
    </w:p>
    <w:p w14:paraId="519935BF" w14:textId="77777777" w:rsidR="004608A8" w:rsidRDefault="004608A8" w:rsidP="004608A8">
      <w:pPr>
        <w:spacing w:after="0"/>
        <w:rPr>
          <w:rFonts w:ascii="Arial" w:hAnsi="Arial"/>
          <w:b/>
        </w:rPr>
      </w:pPr>
    </w:p>
    <w:p w14:paraId="7DAFBAAC" w14:textId="77777777" w:rsidR="004608A8" w:rsidRDefault="004608A8" w:rsidP="004608A8">
      <w:pPr>
        <w:spacing w:after="0"/>
        <w:rPr>
          <w:rFonts w:ascii="Arial" w:hAnsi="Arial"/>
        </w:rPr>
      </w:pPr>
      <w:r w:rsidRPr="0094689A">
        <w:rPr>
          <w:rFonts w:ascii="Arial" w:hAnsi="Arial"/>
          <w:b/>
        </w:rPr>
        <w:t>INVESTMENT TRUSTS:</w:t>
      </w:r>
      <w:r>
        <w:rPr>
          <w:rFonts w:ascii="Arial" w:hAnsi="Arial"/>
        </w:rPr>
        <w:t xml:space="preserve"> 382-386, 416-417, 463-465, 477-482, 499-516</w:t>
      </w:r>
    </w:p>
    <w:p w14:paraId="599953F7" w14:textId="77777777" w:rsidR="004608A8" w:rsidRDefault="004608A8" w:rsidP="004608A8">
      <w:pPr>
        <w:spacing w:after="0"/>
        <w:rPr>
          <w:rFonts w:ascii="Arial" w:hAnsi="Arial"/>
        </w:rPr>
      </w:pPr>
    </w:p>
    <w:p w14:paraId="6A3711C1" w14:textId="77777777" w:rsidR="004608A8" w:rsidRDefault="004608A8" w:rsidP="004608A8">
      <w:pPr>
        <w:spacing w:after="0"/>
        <w:rPr>
          <w:rFonts w:ascii="Arial" w:hAnsi="Arial"/>
        </w:rPr>
      </w:pPr>
      <w:r w:rsidRPr="0094689A">
        <w:rPr>
          <w:rFonts w:ascii="Arial" w:hAnsi="Arial"/>
          <w:b/>
        </w:rPr>
        <w:t>PENSIONS:</w:t>
      </w:r>
      <w:r>
        <w:rPr>
          <w:rFonts w:ascii="Arial" w:hAnsi="Arial"/>
        </w:rPr>
        <w:t xml:space="preserve"> 55-57, 254-275, 493-499, 516-518</w:t>
      </w:r>
    </w:p>
    <w:p w14:paraId="5DB10FF3" w14:textId="77777777" w:rsidR="004608A8" w:rsidRPr="00F329CE" w:rsidRDefault="004608A8" w:rsidP="004608A8">
      <w:pPr>
        <w:tabs>
          <w:tab w:val="left" w:pos="3720"/>
        </w:tabs>
        <w:spacing w:after="0"/>
        <w:rPr>
          <w:rFonts w:ascii="Arial" w:hAnsi="Arial"/>
          <w:b/>
          <w:bCs/>
        </w:rPr>
      </w:pPr>
    </w:p>
    <w:p w14:paraId="479D5699" w14:textId="4DE6D0F5" w:rsidR="004608A8" w:rsidRDefault="004608A8" w:rsidP="004608A8">
      <w:pPr>
        <w:tabs>
          <w:tab w:val="left" w:pos="3720"/>
        </w:tabs>
        <w:spacing w:after="0"/>
        <w:rPr>
          <w:rFonts w:ascii="Arial" w:hAnsi="Arial" w:cs="Arial"/>
          <w:sz w:val="24"/>
          <w:szCs w:val="24"/>
        </w:rPr>
      </w:pPr>
      <w:r w:rsidRPr="00F329CE">
        <w:rPr>
          <w:rFonts w:ascii="Arial" w:hAnsi="Arial"/>
          <w:b/>
          <w:bCs/>
        </w:rPr>
        <w:t>THE STATE:</w:t>
      </w:r>
      <w:r>
        <w:rPr>
          <w:rFonts w:ascii="Arial" w:hAnsi="Arial"/>
          <w:b/>
          <w:bCs/>
        </w:rPr>
        <w:t xml:space="preserve"> </w:t>
      </w:r>
      <w:r w:rsidRPr="00265CC8">
        <w:rPr>
          <w:rFonts w:ascii="Arial" w:hAnsi="Arial"/>
        </w:rPr>
        <w:t xml:space="preserve">31-34, </w:t>
      </w:r>
      <w:r w:rsidRPr="006759D2">
        <w:rPr>
          <w:rFonts w:ascii="Arial" w:hAnsi="Arial"/>
        </w:rPr>
        <w:t>73-76,</w:t>
      </w:r>
      <w:r>
        <w:rPr>
          <w:rFonts w:ascii="Arial" w:hAnsi="Arial"/>
          <w:b/>
          <w:bCs/>
        </w:rPr>
        <w:t xml:space="preserve"> </w:t>
      </w:r>
      <w:r w:rsidRPr="006759D2">
        <w:rPr>
          <w:rFonts w:ascii="Arial" w:hAnsi="Arial"/>
        </w:rPr>
        <w:t>103-202</w:t>
      </w:r>
      <w:r>
        <w:rPr>
          <w:rFonts w:ascii="Arial" w:hAnsi="Arial"/>
        </w:rPr>
        <w:t>, 221-237, 423-442, 454-460</w:t>
      </w:r>
    </w:p>
    <w:sectPr w:rsidR="004608A8" w:rsidSect="00D60927">
      <w:headerReference w:type="default" r:id="rId23"/>
      <w:footerReference w:type="default" r:id="rId24"/>
      <w:pgSz w:w="12240" w:h="15840"/>
      <w:pgMar w:top="720" w:right="720" w:bottom="720" w:left="720" w:header="16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32919" w14:textId="77777777" w:rsidR="0038501D" w:rsidRDefault="0038501D" w:rsidP="00962870">
      <w:pPr>
        <w:spacing w:after="0" w:line="240" w:lineRule="auto"/>
      </w:pPr>
      <w:r>
        <w:separator/>
      </w:r>
    </w:p>
  </w:endnote>
  <w:endnote w:type="continuationSeparator" w:id="0">
    <w:p w14:paraId="3E06FAFF" w14:textId="77777777" w:rsidR="0038501D" w:rsidRDefault="0038501D"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2077969"/>
      <w:docPartObj>
        <w:docPartGallery w:val="Page Numbers (Bottom of Page)"/>
        <w:docPartUnique/>
      </w:docPartObj>
    </w:sdtPr>
    <w:sdtEndPr>
      <w:rPr>
        <w:noProof/>
      </w:rPr>
    </w:sdtEndPr>
    <w:sdtContent>
      <w:p w14:paraId="2652ECC4" w14:textId="2859E0E8" w:rsidR="00967BC1" w:rsidRDefault="005A32F1">
        <w:pPr>
          <w:pStyle w:val="Footer"/>
          <w:jc w:val="center"/>
        </w:pPr>
        <w:r>
          <w:rPr>
            <w:noProof/>
          </w:rPr>
          <w:t>1</w:t>
        </w:r>
      </w:p>
    </w:sdtContent>
  </w:sdt>
  <w:p w14:paraId="09C7208B" w14:textId="77777777" w:rsidR="008C622A" w:rsidRDefault="008C6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1B30E" w14:textId="77777777" w:rsidR="0038501D" w:rsidRDefault="0038501D" w:rsidP="00962870">
      <w:pPr>
        <w:spacing w:after="0" w:line="240" w:lineRule="auto"/>
      </w:pPr>
      <w:r>
        <w:separator/>
      </w:r>
    </w:p>
  </w:footnote>
  <w:footnote w:type="continuationSeparator" w:id="0">
    <w:p w14:paraId="04B706D6" w14:textId="77777777" w:rsidR="0038501D" w:rsidRDefault="0038501D"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253A" w14:textId="7FDD1A05" w:rsidR="008C622A" w:rsidRDefault="00D60927">
    <w:pPr>
      <w:pStyle w:val="Header"/>
    </w:pPr>
    <w:r>
      <w:rPr>
        <w:noProof/>
      </w:rPr>
      <mc:AlternateContent>
        <mc:Choice Requires="wps">
          <w:drawing>
            <wp:anchor distT="45720" distB="45720" distL="114300" distR="114300" simplePos="0" relativeHeight="251663360" behindDoc="0" locked="0" layoutInCell="1" allowOverlap="1" wp14:anchorId="7F9BD700" wp14:editId="1E338A5F">
              <wp:simplePos x="0" y="0"/>
              <wp:positionH relativeFrom="margin">
                <wp:posOffset>1760220</wp:posOffset>
              </wp:positionH>
              <wp:positionV relativeFrom="topMargin">
                <wp:posOffset>304800</wp:posOffset>
              </wp:positionV>
              <wp:extent cx="3307080" cy="601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601980"/>
                      </a:xfrm>
                      <a:prstGeom prst="rect">
                        <a:avLst/>
                      </a:prstGeom>
                      <a:noFill/>
                      <a:ln w="9525">
                        <a:noFill/>
                        <a:miter lim="800000"/>
                        <a:headEnd/>
                        <a:tailEnd/>
                      </a:ln>
                    </wps:spPr>
                    <wps:txbx>
                      <w:txbxContent>
                        <w:p w14:paraId="4A057405" w14:textId="2F02D853" w:rsidR="008C622A" w:rsidRPr="003E5940" w:rsidRDefault="006D1BC0" w:rsidP="003E5940">
                          <w:pPr>
                            <w:jc w:val="center"/>
                            <w:rPr>
                              <w:rFonts w:ascii="Arial" w:hAnsi="Arial" w:cs="Arial"/>
                              <w:sz w:val="24"/>
                              <w:szCs w:val="24"/>
                            </w:rPr>
                          </w:pPr>
                          <w:r>
                            <w:rPr>
                              <w:rFonts w:ascii="Arial" w:hAnsi="Arial" w:cs="Arial"/>
                              <w:noProof/>
                              <w:sz w:val="24"/>
                              <w:szCs w:val="24"/>
                            </w:rPr>
                            <w:t>F718</w:t>
                          </w:r>
                          <w:r w:rsidR="00967BC1">
                            <w:rPr>
                              <w:rFonts w:ascii="Arial" w:hAnsi="Arial" w:cs="Arial"/>
                              <w:noProof/>
                              <w:sz w:val="24"/>
                              <w:szCs w:val="24"/>
                            </w:rPr>
                            <w:t xml:space="preserve"> Outline – </w:t>
                          </w:r>
                          <w:r>
                            <w:rPr>
                              <w:rFonts w:ascii="Arial" w:hAnsi="Arial" w:cs="Arial"/>
                              <w:noProof/>
                              <w:sz w:val="24"/>
                              <w:szCs w:val="24"/>
                            </w:rPr>
                            <w:t>Winter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38.6pt;margin-top:24pt;width:260.4pt;height:47.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" filled="f" stroked="f">
              <v:textbox>
                <w:txbxContent>
                  <w:p w14:paraId="4A057405" w14:textId="2F02D853" w:rsidR="008C622A" w:rsidRPr="003E5940" w:rsidRDefault="006D1BC0" w:rsidP="003E5940">
                    <w:pPr>
                      <w:jc w:val="center"/>
                      <w:rPr>
                        <w:rFonts w:ascii="Arial" w:hAnsi="Arial" w:cs="Arial"/>
                        <w:sz w:val="24"/>
                        <w:szCs w:val="24"/>
                      </w:rPr>
                    </w:pPr>
                    <w:r>
                      <w:rPr>
                        <w:rFonts w:ascii="Arial" w:hAnsi="Arial" w:cs="Arial"/>
                        <w:noProof/>
                        <w:sz w:val="24"/>
                        <w:szCs w:val="24"/>
                      </w:rPr>
                      <w:t>F718</w:t>
                    </w:r>
                    <w:r w:rsidR="00967BC1">
                      <w:rPr>
                        <w:rFonts w:ascii="Arial" w:hAnsi="Arial" w:cs="Arial"/>
                        <w:noProof/>
                        <w:sz w:val="24"/>
                        <w:szCs w:val="24"/>
                      </w:rPr>
                      <w:t xml:space="preserve"> Outline – </w:t>
                    </w:r>
                    <w:r>
                      <w:rPr>
                        <w:rFonts w:ascii="Arial" w:hAnsi="Arial" w:cs="Arial"/>
                        <w:noProof/>
                        <w:sz w:val="24"/>
                        <w:szCs w:val="24"/>
                      </w:rPr>
                      <w:t>Winter 2021</w:t>
                    </w:r>
                  </w:p>
                </w:txbxContent>
              </v:textbox>
              <w10:wrap type="square" anchorx="margin" anchory="margin"/>
            </v:shape>
          </w:pict>
        </mc:Fallback>
      </mc:AlternateContent>
    </w:r>
    <w:r w:rsidR="008C622A">
      <w:rPr>
        <w:noProof/>
      </w:rPr>
      <w:drawing>
        <wp:anchor distT="0" distB="0" distL="114300" distR="114300" simplePos="0" relativeHeight="251661312" behindDoc="1" locked="0" layoutInCell="1" allowOverlap="1" wp14:anchorId="0C03A6DE" wp14:editId="4320B47C">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622A">
      <w:rPr>
        <w:noProof/>
      </w:rPr>
      <w:drawing>
        <wp:anchor distT="0" distB="0" distL="114300" distR="114300" simplePos="0" relativeHeight="251659264" behindDoc="1" locked="0" layoutInCell="1" allowOverlap="1" wp14:anchorId="01CDFD84" wp14:editId="123EF46B">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75A0"/>
    <w:multiLevelType w:val="hybridMultilevel"/>
    <w:tmpl w:val="B9709A5E"/>
    <w:lvl w:ilvl="0" w:tplc="1009000F">
      <w:start w:val="1"/>
      <w:numFmt w:val="decimal"/>
      <w:lvlText w:val="%1."/>
      <w:lvlJc w:val="left"/>
      <w:pPr>
        <w:ind w:left="643" w:hanging="360"/>
      </w:pPr>
      <w:rPr>
        <w:rFonts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C1BF9"/>
    <w:multiLevelType w:val="hybridMultilevel"/>
    <w:tmpl w:val="EEB07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8" w15:restartNumberingAfterBreak="0">
    <w:nsid w:val="20FB6B68"/>
    <w:multiLevelType w:val="hybridMultilevel"/>
    <w:tmpl w:val="3AB0BF7C"/>
    <w:lvl w:ilvl="0" w:tplc="10090001">
      <w:start w:val="1"/>
      <w:numFmt w:val="bullet"/>
      <w:lvlText w:val=""/>
      <w:lvlJc w:val="left"/>
      <w:pPr>
        <w:ind w:left="1778" w:hanging="360"/>
      </w:pPr>
      <w:rPr>
        <w:rFonts w:ascii="Symbol" w:hAnsi="Symbol" w:hint="default"/>
      </w:rPr>
    </w:lvl>
    <w:lvl w:ilvl="1" w:tplc="10090003">
      <w:start w:val="1"/>
      <w:numFmt w:val="bullet"/>
      <w:lvlText w:val="o"/>
      <w:lvlJc w:val="left"/>
      <w:pPr>
        <w:ind w:left="2574" w:hanging="360"/>
      </w:pPr>
      <w:rPr>
        <w:rFonts w:ascii="Courier New" w:hAnsi="Courier New" w:cs="Courier New" w:hint="default"/>
      </w:rPr>
    </w:lvl>
    <w:lvl w:ilvl="2" w:tplc="10090005">
      <w:start w:val="1"/>
      <w:numFmt w:val="bullet"/>
      <w:lvlText w:val=""/>
      <w:lvlJc w:val="left"/>
      <w:pPr>
        <w:ind w:left="3294" w:hanging="360"/>
      </w:pPr>
      <w:rPr>
        <w:rFonts w:ascii="Wingdings" w:hAnsi="Wingdings" w:hint="default"/>
      </w:rPr>
    </w:lvl>
    <w:lvl w:ilvl="3" w:tplc="7264CBAA">
      <w:start w:val="1"/>
      <w:numFmt w:val="bullet"/>
      <w:lvlText w:val=""/>
      <w:lvlJc w:val="left"/>
      <w:pPr>
        <w:ind w:left="4014" w:hanging="360"/>
      </w:pPr>
      <w:rPr>
        <w:rFonts w:ascii="Symbol" w:hAnsi="Symbol" w:hint="default"/>
        <w:sz w:val="24"/>
        <w:szCs w:val="24"/>
      </w:rPr>
    </w:lvl>
    <w:lvl w:ilvl="4" w:tplc="10090003" w:tentative="1">
      <w:start w:val="1"/>
      <w:numFmt w:val="bullet"/>
      <w:lvlText w:val="o"/>
      <w:lvlJc w:val="left"/>
      <w:pPr>
        <w:ind w:left="4734" w:hanging="360"/>
      </w:pPr>
      <w:rPr>
        <w:rFonts w:ascii="Courier New" w:hAnsi="Courier New" w:cs="Courier New" w:hint="default"/>
      </w:rPr>
    </w:lvl>
    <w:lvl w:ilvl="5" w:tplc="10090005" w:tentative="1">
      <w:start w:val="1"/>
      <w:numFmt w:val="bullet"/>
      <w:lvlText w:val=""/>
      <w:lvlJc w:val="left"/>
      <w:pPr>
        <w:ind w:left="5454" w:hanging="360"/>
      </w:pPr>
      <w:rPr>
        <w:rFonts w:ascii="Wingdings" w:hAnsi="Wingdings" w:hint="default"/>
      </w:rPr>
    </w:lvl>
    <w:lvl w:ilvl="6" w:tplc="10090001" w:tentative="1">
      <w:start w:val="1"/>
      <w:numFmt w:val="bullet"/>
      <w:lvlText w:val=""/>
      <w:lvlJc w:val="left"/>
      <w:pPr>
        <w:ind w:left="6174" w:hanging="360"/>
      </w:pPr>
      <w:rPr>
        <w:rFonts w:ascii="Symbol" w:hAnsi="Symbol" w:hint="default"/>
      </w:rPr>
    </w:lvl>
    <w:lvl w:ilvl="7" w:tplc="10090003" w:tentative="1">
      <w:start w:val="1"/>
      <w:numFmt w:val="bullet"/>
      <w:lvlText w:val="o"/>
      <w:lvlJc w:val="left"/>
      <w:pPr>
        <w:ind w:left="6894" w:hanging="360"/>
      </w:pPr>
      <w:rPr>
        <w:rFonts w:ascii="Courier New" w:hAnsi="Courier New" w:cs="Courier New" w:hint="default"/>
      </w:rPr>
    </w:lvl>
    <w:lvl w:ilvl="8" w:tplc="10090005" w:tentative="1">
      <w:start w:val="1"/>
      <w:numFmt w:val="bullet"/>
      <w:lvlText w:val=""/>
      <w:lvlJc w:val="left"/>
      <w:pPr>
        <w:ind w:left="7614" w:hanging="360"/>
      </w:pPr>
      <w:rPr>
        <w:rFonts w:ascii="Wingdings" w:hAnsi="Wingdings" w:hint="default"/>
      </w:rPr>
    </w:lvl>
  </w:abstractNum>
  <w:abstractNum w:abstractNumId="9"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A6E00"/>
    <w:multiLevelType w:val="hybridMultilevel"/>
    <w:tmpl w:val="E82090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5DD1D0E"/>
    <w:multiLevelType w:val="hybridMultilevel"/>
    <w:tmpl w:val="BCB86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47ABF"/>
    <w:multiLevelType w:val="hybridMultilevel"/>
    <w:tmpl w:val="E02A3314"/>
    <w:lvl w:ilvl="0" w:tplc="DDF45F1C">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073E2"/>
    <w:multiLevelType w:val="hybridMultilevel"/>
    <w:tmpl w:val="F53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C46BA"/>
    <w:multiLevelType w:val="hybridMultilevel"/>
    <w:tmpl w:val="17881EE2"/>
    <w:lvl w:ilvl="0" w:tplc="0409000D">
      <w:start w:val="1"/>
      <w:numFmt w:val="bullet"/>
      <w:lvlText w:val=""/>
      <w:lvlJc w:val="left"/>
      <w:pPr>
        <w:ind w:left="360" w:hanging="360"/>
      </w:pPr>
      <w:rPr>
        <w:rFonts w:ascii="Wingdings" w:hAnsi="Wingdings" w:hint="default"/>
      </w:rPr>
    </w:lvl>
    <w:lvl w:ilvl="1" w:tplc="CA6043FC">
      <w:start w:val="1"/>
      <w:numFmt w:val="decimal"/>
      <w:lvlText w:val="%2."/>
      <w:lvlJc w:val="left"/>
      <w:pPr>
        <w:tabs>
          <w:tab w:val="num" w:pos="1080"/>
        </w:tabs>
        <w:ind w:left="1080" w:hanging="360"/>
      </w:pPr>
    </w:lvl>
    <w:lvl w:ilvl="2" w:tplc="7490150E" w:tentative="1">
      <w:start w:val="1"/>
      <w:numFmt w:val="lowerRoman"/>
      <w:lvlText w:val="%3."/>
      <w:lvlJc w:val="right"/>
      <w:pPr>
        <w:tabs>
          <w:tab w:val="num" w:pos="1800"/>
        </w:tabs>
        <w:ind w:left="1800" w:hanging="180"/>
      </w:pPr>
    </w:lvl>
    <w:lvl w:ilvl="3" w:tplc="1DB05414" w:tentative="1">
      <w:start w:val="1"/>
      <w:numFmt w:val="decimal"/>
      <w:lvlText w:val="%4."/>
      <w:lvlJc w:val="left"/>
      <w:pPr>
        <w:tabs>
          <w:tab w:val="num" w:pos="2520"/>
        </w:tabs>
        <w:ind w:left="2520" w:hanging="360"/>
      </w:pPr>
    </w:lvl>
    <w:lvl w:ilvl="4" w:tplc="1730DD02" w:tentative="1">
      <w:start w:val="1"/>
      <w:numFmt w:val="lowerLetter"/>
      <w:lvlText w:val="%5."/>
      <w:lvlJc w:val="left"/>
      <w:pPr>
        <w:tabs>
          <w:tab w:val="num" w:pos="3240"/>
        </w:tabs>
        <w:ind w:left="3240" w:hanging="360"/>
      </w:pPr>
    </w:lvl>
    <w:lvl w:ilvl="5" w:tplc="2EC25236" w:tentative="1">
      <w:start w:val="1"/>
      <w:numFmt w:val="lowerRoman"/>
      <w:lvlText w:val="%6."/>
      <w:lvlJc w:val="right"/>
      <w:pPr>
        <w:tabs>
          <w:tab w:val="num" w:pos="3960"/>
        </w:tabs>
        <w:ind w:left="3960" w:hanging="180"/>
      </w:pPr>
    </w:lvl>
    <w:lvl w:ilvl="6" w:tplc="60D43648" w:tentative="1">
      <w:start w:val="1"/>
      <w:numFmt w:val="decimal"/>
      <w:lvlText w:val="%7."/>
      <w:lvlJc w:val="left"/>
      <w:pPr>
        <w:tabs>
          <w:tab w:val="num" w:pos="4680"/>
        </w:tabs>
        <w:ind w:left="4680" w:hanging="360"/>
      </w:pPr>
    </w:lvl>
    <w:lvl w:ilvl="7" w:tplc="B706F0C0" w:tentative="1">
      <w:start w:val="1"/>
      <w:numFmt w:val="lowerLetter"/>
      <w:lvlText w:val="%8."/>
      <w:lvlJc w:val="left"/>
      <w:pPr>
        <w:tabs>
          <w:tab w:val="num" w:pos="5400"/>
        </w:tabs>
        <w:ind w:left="5400" w:hanging="360"/>
      </w:pPr>
    </w:lvl>
    <w:lvl w:ilvl="8" w:tplc="A44A451C" w:tentative="1">
      <w:start w:val="1"/>
      <w:numFmt w:val="lowerRoman"/>
      <w:lvlText w:val="%9."/>
      <w:lvlJc w:val="right"/>
      <w:pPr>
        <w:tabs>
          <w:tab w:val="num" w:pos="6120"/>
        </w:tabs>
        <w:ind w:left="6120" w:hanging="180"/>
      </w:pPr>
    </w:lvl>
  </w:abstractNum>
  <w:abstractNum w:abstractNumId="17"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8" w15:restartNumberingAfterBreak="0">
    <w:nsid w:val="5D9723B0"/>
    <w:multiLevelType w:val="hybridMultilevel"/>
    <w:tmpl w:val="B1B6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234FF"/>
    <w:multiLevelType w:val="hybridMultilevel"/>
    <w:tmpl w:val="BCE40F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12452"/>
    <w:multiLevelType w:val="hybridMultilevel"/>
    <w:tmpl w:val="2CFC11D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6D8554AF"/>
    <w:multiLevelType w:val="hybridMultilevel"/>
    <w:tmpl w:val="08DC276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num w:numId="1">
    <w:abstractNumId w:val="17"/>
  </w:num>
  <w:num w:numId="2">
    <w:abstractNumId w:val="13"/>
  </w:num>
  <w:num w:numId="3">
    <w:abstractNumId w:val="20"/>
  </w:num>
  <w:num w:numId="4">
    <w:abstractNumId w:val="5"/>
  </w:num>
  <w:num w:numId="5">
    <w:abstractNumId w:val="1"/>
  </w:num>
  <w:num w:numId="6">
    <w:abstractNumId w:val="4"/>
  </w:num>
  <w:num w:numId="7">
    <w:abstractNumId w:val="9"/>
  </w:num>
  <w:num w:numId="8">
    <w:abstractNumId w:val="2"/>
  </w:num>
  <w:num w:numId="9">
    <w:abstractNumId w:val="6"/>
  </w:num>
  <w:num w:numId="10">
    <w:abstractNumId w:val="10"/>
  </w:num>
  <w:num w:numId="11">
    <w:abstractNumId w:val="7"/>
  </w:num>
  <w:num w:numId="12">
    <w:abstractNumId w:val="16"/>
  </w:num>
  <w:num w:numId="13">
    <w:abstractNumId w:val="12"/>
  </w:num>
  <w:num w:numId="14">
    <w:abstractNumId w:val="3"/>
  </w:num>
  <w:num w:numId="15">
    <w:abstractNumId w:val="21"/>
  </w:num>
  <w:num w:numId="16">
    <w:abstractNumId w:val="22"/>
  </w:num>
  <w:num w:numId="17">
    <w:abstractNumId w:val="0"/>
  </w:num>
  <w:num w:numId="18">
    <w:abstractNumId w:val="14"/>
  </w:num>
  <w:num w:numId="19">
    <w:abstractNumId w:val="8"/>
  </w:num>
  <w:num w:numId="20">
    <w:abstractNumId w:val="19"/>
  </w:num>
  <w:num w:numId="21">
    <w:abstractNumId w:val="15"/>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870"/>
    <w:rsid w:val="00002B58"/>
    <w:rsid w:val="000040A7"/>
    <w:rsid w:val="00011210"/>
    <w:rsid w:val="000124C0"/>
    <w:rsid w:val="000254E2"/>
    <w:rsid w:val="00025678"/>
    <w:rsid w:val="000375A1"/>
    <w:rsid w:val="0006159A"/>
    <w:rsid w:val="000750B3"/>
    <w:rsid w:val="00075E92"/>
    <w:rsid w:val="00080788"/>
    <w:rsid w:val="000853B5"/>
    <w:rsid w:val="00086C21"/>
    <w:rsid w:val="000A3D57"/>
    <w:rsid w:val="000B3860"/>
    <w:rsid w:val="000B4094"/>
    <w:rsid w:val="000C54CB"/>
    <w:rsid w:val="000D1704"/>
    <w:rsid w:val="000E4B9B"/>
    <w:rsid w:val="000F4379"/>
    <w:rsid w:val="000F6611"/>
    <w:rsid w:val="000F6D22"/>
    <w:rsid w:val="001259FD"/>
    <w:rsid w:val="0013151E"/>
    <w:rsid w:val="00132F97"/>
    <w:rsid w:val="0015157F"/>
    <w:rsid w:val="00162212"/>
    <w:rsid w:val="00176F39"/>
    <w:rsid w:val="001972A5"/>
    <w:rsid w:val="001B5FF2"/>
    <w:rsid w:val="001B7087"/>
    <w:rsid w:val="001C112C"/>
    <w:rsid w:val="001E57F0"/>
    <w:rsid w:val="002037EB"/>
    <w:rsid w:val="00204C1C"/>
    <w:rsid w:val="00214783"/>
    <w:rsid w:val="00217071"/>
    <w:rsid w:val="00217CC5"/>
    <w:rsid w:val="00223522"/>
    <w:rsid w:val="0023619B"/>
    <w:rsid w:val="0024490D"/>
    <w:rsid w:val="00247A08"/>
    <w:rsid w:val="00267A94"/>
    <w:rsid w:val="002704B4"/>
    <w:rsid w:val="0027057A"/>
    <w:rsid w:val="00273283"/>
    <w:rsid w:val="00277771"/>
    <w:rsid w:val="00280FD6"/>
    <w:rsid w:val="002A2FCD"/>
    <w:rsid w:val="002B6B59"/>
    <w:rsid w:val="002C1826"/>
    <w:rsid w:val="002C3263"/>
    <w:rsid w:val="002D601E"/>
    <w:rsid w:val="002E71DA"/>
    <w:rsid w:val="002F413B"/>
    <w:rsid w:val="00310DDE"/>
    <w:rsid w:val="00312A8B"/>
    <w:rsid w:val="00327564"/>
    <w:rsid w:val="00346B3A"/>
    <w:rsid w:val="00375722"/>
    <w:rsid w:val="0037677F"/>
    <w:rsid w:val="00380327"/>
    <w:rsid w:val="00381156"/>
    <w:rsid w:val="0038501D"/>
    <w:rsid w:val="00387537"/>
    <w:rsid w:val="00396A4B"/>
    <w:rsid w:val="003A40B3"/>
    <w:rsid w:val="003A6E95"/>
    <w:rsid w:val="003C6922"/>
    <w:rsid w:val="003E0694"/>
    <w:rsid w:val="003E3DDC"/>
    <w:rsid w:val="003E5940"/>
    <w:rsid w:val="003F56A8"/>
    <w:rsid w:val="004069F7"/>
    <w:rsid w:val="00434F60"/>
    <w:rsid w:val="004370D2"/>
    <w:rsid w:val="00440AF7"/>
    <w:rsid w:val="004608A8"/>
    <w:rsid w:val="00462EEB"/>
    <w:rsid w:val="004659F0"/>
    <w:rsid w:val="00482D30"/>
    <w:rsid w:val="004B0F63"/>
    <w:rsid w:val="004C5D1F"/>
    <w:rsid w:val="004D7175"/>
    <w:rsid w:val="004E048C"/>
    <w:rsid w:val="004E4A88"/>
    <w:rsid w:val="00516D32"/>
    <w:rsid w:val="00520E7E"/>
    <w:rsid w:val="00523227"/>
    <w:rsid w:val="0054041E"/>
    <w:rsid w:val="00540F91"/>
    <w:rsid w:val="005411C0"/>
    <w:rsid w:val="00554542"/>
    <w:rsid w:val="00565431"/>
    <w:rsid w:val="00575C72"/>
    <w:rsid w:val="00587512"/>
    <w:rsid w:val="0059171A"/>
    <w:rsid w:val="005A32F1"/>
    <w:rsid w:val="005A5775"/>
    <w:rsid w:val="005D4145"/>
    <w:rsid w:val="005E2D65"/>
    <w:rsid w:val="005E41D6"/>
    <w:rsid w:val="005F5E33"/>
    <w:rsid w:val="006014BF"/>
    <w:rsid w:val="0060354D"/>
    <w:rsid w:val="00603D43"/>
    <w:rsid w:val="00604E08"/>
    <w:rsid w:val="006245B3"/>
    <w:rsid w:val="00631666"/>
    <w:rsid w:val="00636150"/>
    <w:rsid w:val="00640766"/>
    <w:rsid w:val="006636B3"/>
    <w:rsid w:val="006A03A4"/>
    <w:rsid w:val="006B1BF4"/>
    <w:rsid w:val="006B5ABA"/>
    <w:rsid w:val="006D1BC0"/>
    <w:rsid w:val="006F49C6"/>
    <w:rsid w:val="00707F2E"/>
    <w:rsid w:val="00724B3F"/>
    <w:rsid w:val="00732538"/>
    <w:rsid w:val="0073274F"/>
    <w:rsid w:val="00740FF4"/>
    <w:rsid w:val="00752C00"/>
    <w:rsid w:val="00754EE1"/>
    <w:rsid w:val="00754F77"/>
    <w:rsid w:val="00757588"/>
    <w:rsid w:val="00761217"/>
    <w:rsid w:val="00762FD8"/>
    <w:rsid w:val="007634B5"/>
    <w:rsid w:val="007733F7"/>
    <w:rsid w:val="007900A6"/>
    <w:rsid w:val="00794FC8"/>
    <w:rsid w:val="007A2248"/>
    <w:rsid w:val="007A4F7D"/>
    <w:rsid w:val="007C475B"/>
    <w:rsid w:val="0082043C"/>
    <w:rsid w:val="0083387A"/>
    <w:rsid w:val="00833B72"/>
    <w:rsid w:val="0084756F"/>
    <w:rsid w:val="00852359"/>
    <w:rsid w:val="00857CE2"/>
    <w:rsid w:val="00863E18"/>
    <w:rsid w:val="00876B69"/>
    <w:rsid w:val="00890EB3"/>
    <w:rsid w:val="008A575D"/>
    <w:rsid w:val="008B40ED"/>
    <w:rsid w:val="008B74C4"/>
    <w:rsid w:val="008C622A"/>
    <w:rsid w:val="008D2402"/>
    <w:rsid w:val="008E68C3"/>
    <w:rsid w:val="0090282A"/>
    <w:rsid w:val="00916220"/>
    <w:rsid w:val="0093009F"/>
    <w:rsid w:val="009300A7"/>
    <w:rsid w:val="00934EA1"/>
    <w:rsid w:val="0093572E"/>
    <w:rsid w:val="009378CE"/>
    <w:rsid w:val="0096160F"/>
    <w:rsid w:val="00962870"/>
    <w:rsid w:val="00965D18"/>
    <w:rsid w:val="00967BC1"/>
    <w:rsid w:val="00983ADA"/>
    <w:rsid w:val="009955DF"/>
    <w:rsid w:val="009B146D"/>
    <w:rsid w:val="009B4427"/>
    <w:rsid w:val="009B44D7"/>
    <w:rsid w:val="009D03B1"/>
    <w:rsid w:val="009F4C31"/>
    <w:rsid w:val="00A07D75"/>
    <w:rsid w:val="00A10EF7"/>
    <w:rsid w:val="00A16E7C"/>
    <w:rsid w:val="00A20F64"/>
    <w:rsid w:val="00A32CDF"/>
    <w:rsid w:val="00A46880"/>
    <w:rsid w:val="00A63E20"/>
    <w:rsid w:val="00A66B24"/>
    <w:rsid w:val="00A670DB"/>
    <w:rsid w:val="00A8072A"/>
    <w:rsid w:val="00A93BA4"/>
    <w:rsid w:val="00AA5966"/>
    <w:rsid w:val="00AB3BB6"/>
    <w:rsid w:val="00AB40D1"/>
    <w:rsid w:val="00AD42A5"/>
    <w:rsid w:val="00AE2EF6"/>
    <w:rsid w:val="00AF0FAC"/>
    <w:rsid w:val="00B05176"/>
    <w:rsid w:val="00B116CF"/>
    <w:rsid w:val="00B16EC4"/>
    <w:rsid w:val="00B1725E"/>
    <w:rsid w:val="00B30D25"/>
    <w:rsid w:val="00B32ED1"/>
    <w:rsid w:val="00B43D53"/>
    <w:rsid w:val="00B55382"/>
    <w:rsid w:val="00BA0F79"/>
    <w:rsid w:val="00BA3DB4"/>
    <w:rsid w:val="00BC6CA8"/>
    <w:rsid w:val="00BF2AEA"/>
    <w:rsid w:val="00C0012D"/>
    <w:rsid w:val="00C077D1"/>
    <w:rsid w:val="00C219FA"/>
    <w:rsid w:val="00C40CA5"/>
    <w:rsid w:val="00C42587"/>
    <w:rsid w:val="00C4727A"/>
    <w:rsid w:val="00C51FCF"/>
    <w:rsid w:val="00C633E9"/>
    <w:rsid w:val="00C659F1"/>
    <w:rsid w:val="00C82328"/>
    <w:rsid w:val="00C905B4"/>
    <w:rsid w:val="00C90618"/>
    <w:rsid w:val="00CB22D5"/>
    <w:rsid w:val="00CC0593"/>
    <w:rsid w:val="00CD7B79"/>
    <w:rsid w:val="00CF5409"/>
    <w:rsid w:val="00D01B76"/>
    <w:rsid w:val="00D03AC8"/>
    <w:rsid w:val="00D06F38"/>
    <w:rsid w:val="00D10446"/>
    <w:rsid w:val="00D41DE6"/>
    <w:rsid w:val="00D55775"/>
    <w:rsid w:val="00D60927"/>
    <w:rsid w:val="00D6159C"/>
    <w:rsid w:val="00D80957"/>
    <w:rsid w:val="00DA03D4"/>
    <w:rsid w:val="00DB0C50"/>
    <w:rsid w:val="00DE054D"/>
    <w:rsid w:val="00DE3961"/>
    <w:rsid w:val="00DF0A57"/>
    <w:rsid w:val="00DF2415"/>
    <w:rsid w:val="00DF53FF"/>
    <w:rsid w:val="00E07819"/>
    <w:rsid w:val="00E150C8"/>
    <w:rsid w:val="00E315E5"/>
    <w:rsid w:val="00E37AE7"/>
    <w:rsid w:val="00E463D1"/>
    <w:rsid w:val="00E60ED5"/>
    <w:rsid w:val="00E63CB0"/>
    <w:rsid w:val="00E92A61"/>
    <w:rsid w:val="00E96741"/>
    <w:rsid w:val="00EA3AB0"/>
    <w:rsid w:val="00EC236F"/>
    <w:rsid w:val="00EE3BF9"/>
    <w:rsid w:val="00EF47AC"/>
    <w:rsid w:val="00F048D6"/>
    <w:rsid w:val="00F439C5"/>
    <w:rsid w:val="00F60671"/>
    <w:rsid w:val="00F64ACE"/>
    <w:rsid w:val="00F75553"/>
    <w:rsid w:val="00F75CF7"/>
    <w:rsid w:val="00F85E93"/>
    <w:rsid w:val="00F91AB7"/>
    <w:rsid w:val="00F95042"/>
    <w:rsid w:val="00F95BC8"/>
    <w:rsid w:val="00FB568F"/>
    <w:rsid w:val="00FC57FD"/>
    <w:rsid w:val="00FE03EB"/>
    <w:rsid w:val="00FE4972"/>
    <w:rsid w:val="00FE739F"/>
    <w:rsid w:val="00FF1453"/>
    <w:rsid w:val="00FF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2C74B"/>
  <w15:docId w15:val="{D97105F6-3303-49DB-B099-9D77FC91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F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paragraph" w:styleId="Heading3">
    <w:name w:val="heading 3"/>
    <w:basedOn w:val="Normal"/>
    <w:next w:val="Normal"/>
    <w:link w:val="Heading3Char"/>
    <w:qFormat/>
    <w:rsid w:val="00440AF7"/>
    <w:pPr>
      <w:keepNext/>
      <w:keepLines/>
      <w:spacing w:before="200" w:after="0" w:line="240" w:lineRule="auto"/>
      <w:outlineLvl w:val="2"/>
    </w:pPr>
    <w:rPr>
      <w:rFonts w:ascii="Cambria" w:eastAsia="Times New Roman" w:hAnsi="Cambria" w:cs="Times New Roman"/>
      <w:b/>
      <w:bCs/>
      <w:color w:val="4F81BD"/>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762FD8"/>
    <w:rPr>
      <w:color w:val="605E5C"/>
      <w:shd w:val="clear" w:color="auto" w:fill="E1DFDD"/>
    </w:rPr>
  </w:style>
  <w:style w:type="character" w:customStyle="1" w:styleId="Heading1Char">
    <w:name w:val="Heading 1 Char"/>
    <w:basedOn w:val="DefaultParagraphFont"/>
    <w:link w:val="Heading1"/>
    <w:uiPriority w:val="9"/>
    <w:rsid w:val="00762FD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440AF7"/>
    <w:rPr>
      <w:rFonts w:ascii="Cambria" w:eastAsia="Times New Roman" w:hAnsi="Cambria" w:cs="Times New Roman"/>
      <w:b/>
      <w:bCs/>
      <w:color w:val="4F81BD"/>
      <w:sz w:val="24"/>
      <w:szCs w:val="24"/>
      <w:lang w:val="en-CA"/>
    </w:rPr>
  </w:style>
  <w:style w:type="character" w:styleId="UnresolvedMention">
    <w:name w:val="Unresolved Mention"/>
    <w:basedOn w:val="DefaultParagraphFont"/>
    <w:uiPriority w:val="99"/>
    <w:semiHidden/>
    <w:unhideWhenUsed/>
    <w:rsid w:val="00EC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34641">
      <w:bodyDiv w:val="1"/>
      <w:marLeft w:val="0"/>
      <w:marRight w:val="0"/>
      <w:marTop w:val="0"/>
      <w:marBottom w:val="0"/>
      <w:divBdr>
        <w:top w:val="none" w:sz="0" w:space="0" w:color="auto"/>
        <w:left w:val="none" w:sz="0" w:space="0" w:color="auto"/>
        <w:bottom w:val="none" w:sz="0" w:space="0" w:color="auto"/>
        <w:right w:val="none" w:sz="0" w:space="0" w:color="auto"/>
      </w:divBdr>
    </w:div>
    <w:div w:id="418136376">
      <w:bodyDiv w:val="1"/>
      <w:marLeft w:val="0"/>
      <w:marRight w:val="0"/>
      <w:marTop w:val="0"/>
      <w:marBottom w:val="0"/>
      <w:divBdr>
        <w:top w:val="none" w:sz="0" w:space="0" w:color="auto"/>
        <w:left w:val="none" w:sz="0" w:space="0" w:color="auto"/>
        <w:bottom w:val="none" w:sz="0" w:space="0" w:color="auto"/>
        <w:right w:val="none" w:sz="0" w:space="0" w:color="auto"/>
      </w:divBdr>
    </w:div>
    <w:div w:id="701127886">
      <w:bodyDiv w:val="1"/>
      <w:marLeft w:val="0"/>
      <w:marRight w:val="0"/>
      <w:marTop w:val="0"/>
      <w:marBottom w:val="0"/>
      <w:divBdr>
        <w:top w:val="none" w:sz="0" w:space="0" w:color="auto"/>
        <w:left w:val="none" w:sz="0" w:space="0" w:color="auto"/>
        <w:bottom w:val="none" w:sz="0" w:space="0" w:color="auto"/>
        <w:right w:val="none" w:sz="0" w:space="0" w:color="auto"/>
      </w:divBdr>
    </w:div>
    <w:div w:id="1024744553">
      <w:bodyDiv w:val="1"/>
      <w:marLeft w:val="0"/>
      <w:marRight w:val="0"/>
      <w:marTop w:val="0"/>
      <w:marBottom w:val="0"/>
      <w:divBdr>
        <w:top w:val="none" w:sz="0" w:space="0" w:color="auto"/>
        <w:left w:val="none" w:sz="0" w:space="0" w:color="auto"/>
        <w:bottom w:val="none" w:sz="0" w:space="0" w:color="auto"/>
        <w:right w:val="none" w:sz="0" w:space="0" w:color="auto"/>
      </w:divBdr>
    </w:div>
    <w:div w:id="1740862954">
      <w:bodyDiv w:val="1"/>
      <w:marLeft w:val="0"/>
      <w:marRight w:val="0"/>
      <w:marTop w:val="0"/>
      <w:marBottom w:val="0"/>
      <w:divBdr>
        <w:top w:val="none" w:sz="0" w:space="0" w:color="auto"/>
        <w:left w:val="none" w:sz="0" w:space="0" w:color="auto"/>
        <w:bottom w:val="none" w:sz="0" w:space="0" w:color="auto"/>
        <w:right w:val="none" w:sz="0" w:space="0" w:color="auto"/>
      </w:divBdr>
    </w:div>
    <w:div w:id="1815216293">
      <w:bodyDiv w:val="1"/>
      <w:marLeft w:val="0"/>
      <w:marRight w:val="0"/>
      <w:marTop w:val="0"/>
      <w:marBottom w:val="0"/>
      <w:divBdr>
        <w:top w:val="none" w:sz="0" w:space="0" w:color="auto"/>
        <w:left w:val="none" w:sz="0" w:space="0" w:color="auto"/>
        <w:bottom w:val="none" w:sz="0" w:space="0" w:color="auto"/>
        <w:right w:val="none" w:sz="0" w:space="0" w:color="auto"/>
      </w:divBdr>
    </w:div>
    <w:div w:id="20883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ginsw@mcmaster.ca"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B8B8-182B-4153-828F-B236A201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William Huggins</cp:lastModifiedBy>
  <cp:revision>2</cp:revision>
  <cp:lastPrinted>2020-07-18T13:45:00Z</cp:lastPrinted>
  <dcterms:created xsi:type="dcterms:W3CDTF">2020-11-30T14:18:00Z</dcterms:created>
  <dcterms:modified xsi:type="dcterms:W3CDTF">2020-11-30T14:18:00Z</dcterms:modified>
</cp:coreProperties>
</file>